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header4.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6926" w:leader="none"/>
        </w:tabs>
        <w:jc w:val="center"/>
        <w:rPr>
          <w:b/>
          <w:sz w:val="24"/>
          <w:szCs w:val="24"/>
        </w:rPr>
      </w:pPr>
      <w:r>
        <w:rPr>
          <w:b/>
          <w:bCs/>
          <w:sz w:val="24"/>
          <w:szCs w:val="24"/>
        </w:rPr>
        <w:t>Договор поставки</w:t>
      </w:r>
    </w:p>
    <w:p>
      <w:pPr>
        <w:pStyle w:val="Normal"/>
        <w:shd w:val="clear" w:color="auto" w:fill="FFFFFF"/>
        <w:tabs>
          <w:tab w:val="clear" w:pos="709"/>
          <w:tab w:val="right" w:pos="9639" w:leader="none"/>
        </w:tabs>
        <w:jc w:val="right"/>
        <w:rPr>
          <w:bCs/>
          <w:sz w:val="24"/>
          <w:szCs w:val="24"/>
        </w:rPr>
      </w:pPr>
      <w:r>
        <w:rPr>
          <w:bCs/>
          <w:sz w:val="24"/>
          <w:szCs w:val="24"/>
        </w:rPr>
        <w:t>г. _________</w:t>
        <w:tab/>
        <w:t xml:space="preserve">   «___» _________ 20__ г.</w:t>
      </w:r>
    </w:p>
    <w:p>
      <w:pPr>
        <w:pStyle w:val="Normal"/>
        <w:shd w:val="clear" w:color="auto" w:fill="FFFFFF"/>
        <w:tabs>
          <w:tab w:val="clear" w:pos="709"/>
          <w:tab w:val="right" w:pos="9639" w:leader="none"/>
        </w:tabs>
        <w:jc w:val="right"/>
        <w:rPr>
          <w:bCs/>
          <w:sz w:val="24"/>
          <w:szCs w:val="24"/>
        </w:rPr>
      </w:pPr>
      <w:r>
        <w:rPr>
          <w:bCs/>
          <w:sz w:val="24"/>
          <w:szCs w:val="24"/>
        </w:rPr>
      </w:r>
    </w:p>
    <w:p>
      <w:pPr>
        <w:pStyle w:val="Normal"/>
        <w:ind w:firstLine="709"/>
        <w:jc w:val="both"/>
        <w:rPr>
          <w:spacing w:val="10"/>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 </w:t>
      </w:r>
      <w:r>
        <w:rPr>
          <w:sz w:val="24"/>
          <w:szCs w:val="24"/>
        </w:rPr>
        <w:t>«Покупатель»), в лице директора Филиала ПАО «РусГидро» - «Камская ГЭС» Двинянинова Сергея Валерьевича</w:t>
      </w:r>
      <w:r>
        <w:rPr>
          <w:spacing w:val="4"/>
          <w:sz w:val="24"/>
          <w:szCs w:val="24"/>
        </w:rPr>
        <w:t>, действующего на основании _____________________</w:t>
      </w:r>
      <w:bookmarkStart w:id="0" w:name="_GoBack"/>
      <w:bookmarkEnd w:id="0"/>
      <w:r>
        <w:rPr>
          <w:spacing w:val="4"/>
          <w:sz w:val="24"/>
          <w:szCs w:val="24"/>
        </w:rPr>
        <w:t>___________________, с одной стороны, и</w:t>
      </w:r>
      <w:r>
        <w:rPr>
          <w:spacing w:val="10"/>
          <w:sz w:val="24"/>
          <w:szCs w:val="24"/>
        </w:rPr>
        <w:t xml:space="preserve"> </w:t>
      </w:r>
    </w:p>
    <w:p>
      <w:pPr>
        <w:pStyle w:val="Normal"/>
        <w:ind w:firstLine="709"/>
        <w:jc w:val="both"/>
        <w:rPr>
          <w:sz w:val="24"/>
          <w:szCs w:val="24"/>
        </w:rPr>
      </w:pPr>
      <w:r>
        <w:rPr>
          <w:b/>
          <w:spacing w:val="10"/>
          <w:sz w:val="24"/>
          <w:szCs w:val="24"/>
        </w:rPr>
        <w:t>_________________________________________________</w:t>
      </w:r>
      <w:r>
        <w:rPr>
          <w:bCs/>
          <w:sz w:val="24"/>
          <w:szCs w:val="24"/>
        </w:rPr>
        <w:t xml:space="preserve"> </w:t>
      </w:r>
      <w:r>
        <w:rPr>
          <w:sz w:val="24"/>
          <w:szCs w:val="24"/>
        </w:rPr>
        <w:t xml:space="preserve">(далее – «Поставщик»), в лице _________________________, действующего на основании ___________________, с другой стороны, </w:t>
      </w:r>
    </w:p>
    <w:p>
      <w:pPr>
        <w:pStyle w:val="Normal"/>
        <w:ind w:firstLine="709"/>
        <w:jc w:val="both"/>
        <w:rPr>
          <w:sz w:val="24"/>
          <w:szCs w:val="24"/>
        </w:rPr>
      </w:pPr>
      <w:r>
        <w:rPr>
          <w:sz w:val="24"/>
          <w:szCs w:val="24"/>
        </w:rPr>
        <w:t xml:space="preserve">совместно в дальнейшем именуемые «Стороны», а по отдельности – «Сторона», </w:t>
        <w:br/>
      </w:r>
      <w:r>
        <w:rPr>
          <w:sz w:val="24"/>
          <w:szCs w:val="24"/>
          <w:lang w:eastAsia="en-US"/>
        </w:rPr>
        <w:t>по результатам проведенного Покупателем состязательного отбора по лоту № 11-ЭКСП-БПД-2026-КамГЭС и на основании протокола __________ от «___» _________ г. №_______,</w:t>
      </w:r>
    </w:p>
    <w:p>
      <w:pPr>
        <w:pStyle w:val="Normal"/>
        <w:ind w:firstLine="709"/>
        <w:jc w:val="both"/>
        <w:rPr>
          <w:spacing w:val="10"/>
          <w:sz w:val="24"/>
          <w:szCs w:val="24"/>
        </w:rPr>
      </w:pPr>
      <w:r>
        <w:rPr>
          <w:sz w:val="24"/>
          <w:szCs w:val="24"/>
        </w:rPr>
        <w:t>заключили настоящий договор поставки (далее – «Договор») о нижеследующем:</w:t>
      </w:r>
    </w:p>
    <w:p>
      <w:pPr>
        <w:pStyle w:val="Normal"/>
        <w:shd w:val="clear" w:color="auto" w:fill="FFFFFF"/>
        <w:rPr>
          <w:bCs/>
          <w:sz w:val="24"/>
          <w:szCs w:val="24"/>
          <w:lang w:val="x-none"/>
        </w:rPr>
      </w:pPr>
      <w:r>
        <w:rPr>
          <w:bCs/>
          <w:sz w:val="24"/>
          <w:szCs w:val="24"/>
          <w:lang w:val="x-none"/>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ТОРГ-2 «Акт об установленном расхождении по количеству и качеству при приемке товарно-материальных ценностей» и № ТОРГ</w:t>
      </w:r>
      <w:r>
        <w:rPr>
          <w:sz w:val="24"/>
          <w:szCs w:val="24"/>
        </w:rPr>
        <w:t>-</w:t>
      </w:r>
      <w:r>
        <w:rPr>
          <w:sz w:val="24"/>
          <w:szCs w:val="24"/>
          <w:lang w:eastAsia="en-US"/>
        </w:rPr>
        <w:t xml:space="preserve">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9"/>
          <w:tab w:val="left" w:pos="567" w:leader="none"/>
          <w:tab w:val="left" w:pos="1134" w:leader="none"/>
        </w:tabs>
        <w:ind w:left="0" w:firstLine="708"/>
        <w:jc w:val="both"/>
        <w:textAlignment w:val="baseline"/>
        <w:rPr>
          <w:sz w:val="24"/>
          <w:szCs w:val="24"/>
          <w:lang w:eastAsia="en-US"/>
        </w:rPr>
      </w:pPr>
      <w:r>
        <w:rPr>
          <w:b/>
          <w:sz w:val="24"/>
          <w:szCs w:val="24"/>
          <w:lang w:eastAsia="en-US"/>
        </w:rPr>
        <w:t xml:space="preserve"> </w:t>
      </w: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9"/>
          <w:tab w:val="left" w:pos="0" w:leader="none"/>
        </w:tabs>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Normal"/>
        <w:numPr>
          <w:ilvl w:val="0"/>
        </w:numPr>
        <w:suppressAutoHyphens w:val="false"/>
        <w:spacing w:lineRule="auto" w:line="240" w:before="0" w:after="0"/>
        <w:ind w:firstLine="567"/>
        <w:jc w:val="both"/>
        <w:rPr>
          <w:rFonts w:ascii="Times New Roman" w:hAnsi="Times New Roman" w:eastAsia="Times New Roman" w:cs="Times New Roman"/>
          <w:b/>
          <w:sz w:val="28"/>
          <w:szCs w:val="28"/>
          <w:lang w:eastAsia="ru-RU"/>
        </w:rPr>
      </w:pPr>
      <w:r>
        <w:rPr>
          <w:rFonts w:eastAsia="Times New Roman" w:cs="Times New Roman"/>
          <w:b/>
          <w:color w:val="auto"/>
          <w:kern w:val="0"/>
          <w:sz w:val="24"/>
          <w:szCs w:val="24"/>
          <w:lang w:val="ru-RU" w:eastAsia="en-US" w:bidi="ar-SA"/>
        </w:rPr>
        <w:t xml:space="preserve">«Универсальный передаточный документ (УПД)» </w:t>
      </w:r>
      <w:r>
        <w:rPr>
          <w:rFonts w:eastAsia="Times New Roman" w:cs="Times New Roman"/>
          <w:color w:val="auto"/>
          <w:kern w:val="0"/>
          <w:sz w:val="24"/>
          <w:szCs w:val="24"/>
          <w:lang w:val="ru-RU" w:eastAsia="en-US" w:bidi="ar-SA"/>
        </w:rPr>
        <w:t xml:space="preserve">– форма документа, рекомендованная для применения письмом ФНС России от 21.10.2013 </w:t>
        <w:br/>
        <w:t xml:space="preserve">№ ММВ-20-3/96@ (объединяет реквизиты </w:t>
      </w:r>
      <w:hyperlink r:id="rId2">
        <w:r>
          <w:rPr>
            <w:rStyle w:val="Hyperlink"/>
            <w:rFonts w:eastAsia="Times New Roman" w:cs="Times New Roman"/>
            <w:color w:val="auto"/>
            <w:kern w:val="0"/>
            <w:sz w:val="24"/>
            <w:szCs w:val="24"/>
            <w:u w:val="none"/>
            <w:lang w:val="ru-RU" w:eastAsia="en-US" w:bidi="ar-SA"/>
          </w:rPr>
          <w:t>счета-фактуры</w:t>
        </w:r>
      </w:hyperlink>
      <w:r>
        <w:rPr>
          <w:rFonts w:eastAsia="Times New Roman" w:cs="Times New Roman"/>
          <w:color w:val="auto"/>
          <w:kern w:val="0"/>
          <w:sz w:val="24"/>
          <w:szCs w:val="24"/>
          <w:u w:val="none"/>
          <w:lang w:val="ru-RU" w:eastAsia="en-US" w:bidi="ar-SA"/>
        </w:rPr>
        <w:t xml:space="preserve"> и </w:t>
      </w:r>
      <w:hyperlink r:id="rId3">
        <w:r>
          <w:rPr>
            <w:rStyle w:val="Hyperlink"/>
            <w:rFonts w:eastAsia="Times New Roman" w:cs="Times New Roman"/>
            <w:color w:val="auto"/>
            <w:kern w:val="0"/>
            <w:sz w:val="24"/>
            <w:szCs w:val="24"/>
            <w:u w:val="none"/>
            <w:lang w:val="ru-RU" w:eastAsia="en-US" w:bidi="ar-SA"/>
          </w:rPr>
          <w:t>первичного документа</w:t>
        </w:r>
      </w:hyperlink>
      <w:r>
        <w:rPr>
          <w:rFonts w:eastAsia="Times New Roman" w:cs="Times New Roman"/>
          <w:color w:val="auto"/>
          <w:kern w:val="0"/>
          <w:sz w:val="24"/>
          <w:szCs w:val="24"/>
          <w:lang w:val="ru-RU" w:eastAsia="en-US" w:bidi="ar-SA"/>
        </w:rPr>
        <w:t xml:space="preserve"> о передаче товаров, работ, услуг).</w:t>
      </w:r>
    </w:p>
    <w:p>
      <w:pPr>
        <w:pStyle w:val="ListParagraph"/>
        <w:shd w:val="clear" w:color="auto" w:fill="FFFFFF"/>
        <w:tabs>
          <w:tab w:val="clear" w:pos="709"/>
          <w:tab w:val="left" w:pos="0" w:leader="none"/>
        </w:tabs>
        <w:overflowPunct w:val="false"/>
        <w:ind w:left="0" w:firstLine="709"/>
        <w:jc w:val="both"/>
        <w:textAlignment w:val="baseline"/>
        <w:rPr>
          <w:b/>
          <w:sz w:val="24"/>
          <w:szCs w:val="24"/>
          <w:lang w:eastAsia="en-US"/>
        </w:rPr>
      </w:pPr>
      <w:r>
        <w:rPr>
          <w:rFonts w:eastAsia="Times New Roman" w:cs="Times New Roman"/>
          <w:b/>
          <w:bCs/>
          <w:color w:val="auto"/>
          <w:kern w:val="0"/>
          <w:sz w:val="24"/>
          <w:szCs w:val="24"/>
          <w:lang w:val="ru-RU" w:eastAsia="en-US" w:bidi="ar-SA"/>
        </w:rPr>
        <w:t>«Национальный режим»</w:t>
      </w:r>
      <w:r>
        <w:rPr>
          <w:rFonts w:eastAsia="Times New Roman" w:cs="Times New Roman"/>
          <w:bCs/>
          <w:color w:val="auto"/>
          <w:kern w:val="0"/>
          <w:sz w:val="24"/>
          <w:szCs w:val="24"/>
          <w:lang w:val="ru-RU" w:eastAsia="en-US" w:bidi="ar-SA"/>
        </w:rPr>
        <w:t xml:space="preserve"> - установленные законодательством Российской Федерации условия, обеспечивающие предоставление (или непредоставление) для происходящей из иностранного государства продукции прав участия в закупке, равных с правами для продукции российского происхождения.</w:t>
      </w:r>
      <w:r>
        <w:rPr>
          <w:rFonts w:eastAsia="Times New Roman" w:cs="Times New Roman"/>
          <w:b/>
          <w:color w:val="auto"/>
          <w:kern w:val="0"/>
          <w:sz w:val="24"/>
          <w:szCs w:val="24"/>
          <w:lang w:val="ru-RU" w:eastAsia="en-US" w:bidi="ar-SA"/>
        </w:rPr>
        <w:t xml:space="preserve"> </w:t>
      </w:r>
    </w:p>
    <w:p>
      <w:pPr>
        <w:pStyle w:val="ListParagraph"/>
        <w:shd w:val="clear" w:color="auto" w:fill="FFFFFF"/>
        <w:tabs>
          <w:tab w:val="clear" w:pos="709"/>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pPr>
        <w:pStyle w:val="Normal"/>
        <w:jc w:val="both"/>
        <w:rPr>
          <w:sz w:val="24"/>
          <w:szCs w:val="24"/>
          <w:lang w:eastAsia="en-US"/>
        </w:rPr>
      </w:pPr>
      <w:r>
        <w:rPr>
          <w:b/>
          <w:sz w:val="24"/>
          <w:szCs w:val="24"/>
          <w:lang w:eastAsia="en-US"/>
        </w:rPr>
        <w:t xml:space="preserve">            </w:t>
      </w:r>
      <w:r>
        <w:rPr>
          <w:b/>
          <w:sz w:val="24"/>
          <w:szCs w:val="24"/>
          <w:lang w:eastAsia="en-US"/>
        </w:rPr>
        <w:t>«Применимое право»</w:t>
      </w:r>
      <w:r>
        <w:rPr>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8"/>
        <w:jc w:val="both"/>
        <w:rPr>
          <w:sz w:val="24"/>
          <w:szCs w:val="24"/>
          <w:lang w:eastAsia="en-US"/>
        </w:rPr>
      </w:pPr>
      <w:r>
        <w:rPr>
          <w:b/>
          <w:sz w:val="24"/>
          <w:szCs w:val="24"/>
          <w:lang w:eastAsia="en-US"/>
        </w:rPr>
        <w:t xml:space="preserve"> </w:t>
      </w: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9"/>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Предмет Договора</w:t>
      </w:r>
    </w:p>
    <w:p>
      <w:pPr>
        <w:pStyle w:val="Normal"/>
        <w:numPr>
          <w:ilvl w:val="1"/>
          <w:numId w:val="2"/>
        </w:numPr>
        <w:shd w:val="clear" w:color="auto" w:fill="FFFFFF"/>
        <w:tabs>
          <w:tab w:val="clear" w:pos="709"/>
          <w:tab w:val="left" w:pos="1134" w:leader="none"/>
        </w:tabs>
        <w:ind w:left="0" w:firstLine="709"/>
        <w:jc w:val="both"/>
        <w:rPr>
          <w:bCs/>
          <w:sz w:val="24"/>
          <w:szCs w:val="24"/>
        </w:rPr>
      </w:pPr>
      <w:r>
        <w:rPr>
          <w:rFonts w:eastAsia="Times New Roman" w:cs="Times New Roman"/>
          <w:bCs/>
          <w:sz w:val="24"/>
          <w:szCs w:val="24"/>
          <w:lang w:eastAsia="ru-RU"/>
        </w:rPr>
        <w:t>Поставщик обязуется в порядке и сроки, установленные Договором, передать в собственность Покупателю</w:t>
      </w:r>
      <w:r>
        <w:rPr>
          <w:rFonts w:eastAsia="Calibri" w:cs="Times New Roman"/>
          <w:bCs/>
          <w:sz w:val="24"/>
          <w:szCs w:val="24"/>
        </w:rPr>
        <w:t xml:space="preserve"> средства индивидуальной защиты от общих производственных загрязнений в корпоративном стиле Группы РусГидро</w:t>
      </w:r>
      <w:r>
        <w:rPr>
          <w:rFonts w:eastAsia="Times New Roman" w:cs="Times New Roman"/>
          <w:bCs/>
          <w:color w:val="000000" w:themeColor="text1"/>
          <w:sz w:val="24"/>
          <w:szCs w:val="24"/>
          <w:lang w:eastAsia="ru-RU"/>
        </w:rPr>
        <w:t xml:space="preserve"> </w:t>
      </w:r>
      <w:r>
        <w:rPr>
          <w:rFonts w:eastAsia="Times New Roman" w:cs="Times New Roman"/>
          <w:bCs/>
          <w:sz w:val="24"/>
          <w:szCs w:val="24"/>
          <w:lang w:eastAsia="ru-RU"/>
        </w:rPr>
        <w:t>(далее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r>
        <w:rPr>
          <w:bCs/>
          <w:sz w:val="24"/>
          <w:szCs w:val="24"/>
        </w:rPr>
        <w:t>.</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Поставка Товара по Договору осуществляется для нужд филиала ПАО «РусГидро»-«Камская ГЭС».</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Место поставки Товара: </w:t>
      </w:r>
      <w:r>
        <w:rPr>
          <w:sz w:val="24"/>
          <w:szCs w:val="24"/>
        </w:rPr>
        <w:t>г. Пермь, ул. Соликамская, д. 329 (далее – «Место поставки»).</w:t>
      </w:r>
    </w:p>
    <w:p>
      <w:pPr>
        <w:pStyle w:val="Normal"/>
        <w:numPr>
          <w:ilvl w:val="1"/>
          <w:numId w:val="2"/>
        </w:numPr>
        <w:shd w:val="clear" w:color="auto" w:fill="FFFFFF"/>
        <w:tabs>
          <w:tab w:val="clear" w:pos="709"/>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Standard"/>
        <w:numPr>
          <w:ilvl w:val="2"/>
          <w:numId w:val="2"/>
        </w:numPr>
        <w:shd w:val="clear" w:color="auto" w:fill="FFFFFF"/>
        <w:tabs>
          <w:tab w:val="clear" w:pos="709"/>
          <w:tab w:val="left" w:pos="0" w:leader="none"/>
          <w:tab w:val="left" w:pos="1134" w:leader="none"/>
          <w:tab w:val="left" w:pos="1418" w:leader="none"/>
        </w:tabs>
        <w:ind w:left="1639" w:hanging="930"/>
        <w:jc w:val="both"/>
        <w:rPr>
          <w:bCs/>
        </w:rPr>
      </w:pPr>
      <w:r>
        <w:rPr>
          <w:bCs/>
        </w:rPr>
        <w:t xml:space="preserve">Начало – </w:t>
      </w:r>
      <w:r>
        <w:rPr>
          <w:rFonts w:ascii="Times New Roman" w:hAnsi="Times New Roman"/>
          <w:bCs/>
        </w:rPr>
        <w:t xml:space="preserve">с даты заключения Договора. </w:t>
      </w:r>
    </w:p>
    <w:p>
      <w:pPr>
        <w:pStyle w:val="Normal"/>
        <w:widowControl w:val="false"/>
        <w:numPr>
          <w:ilvl w:val="2"/>
          <w:numId w:val="2"/>
        </w:numPr>
        <w:tabs>
          <w:tab w:val="clear" w:pos="709"/>
          <w:tab w:val="left" w:pos="1412" w:leader="none"/>
        </w:tabs>
        <w:suppressAutoHyphens w:val="true"/>
        <w:bidi w:val="0"/>
        <w:spacing w:before="0" w:after="0"/>
        <w:ind w:left="0" w:right="0" w:firstLine="680"/>
        <w:jc w:val="both"/>
        <w:rPr>
          <w:sz w:val="24"/>
          <w:szCs w:val="24"/>
        </w:rPr>
      </w:pPr>
      <w:r>
        <w:rPr>
          <w:bCs/>
          <w:sz w:val="24"/>
          <w:szCs w:val="24"/>
        </w:rPr>
        <w:t xml:space="preserve">Окончание – в течение 60 (шестьдесят) календарных дней с даты заключения Договора. </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Товар поставляется одной партией в рамках общих сроков, указанных в пункте 1.4 Договора. </w:t>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твердой и составляет </w:t>
      </w:r>
      <w:r>
        <w:rPr>
          <w:sz w:val="24"/>
          <w:szCs w:val="24"/>
        </w:rPr>
        <w:t>_______</w:t>
      </w:r>
      <w:r>
        <w:rPr>
          <w:bCs/>
          <w:sz w:val="24"/>
          <w:szCs w:val="24"/>
        </w:rPr>
        <w:t xml:space="preserve"> (</w:t>
      </w:r>
      <w:r>
        <w:rPr>
          <w:sz w:val="24"/>
          <w:szCs w:val="24"/>
        </w:rPr>
        <w:t>__________________</w:t>
      </w:r>
      <w:r>
        <w:rPr>
          <w:bCs/>
          <w:sz w:val="24"/>
          <w:szCs w:val="24"/>
        </w:rPr>
        <w:t xml:space="preserve">) рублей </w:t>
      </w:r>
      <w:r>
        <w:rPr>
          <w:sz w:val="24"/>
          <w:szCs w:val="24"/>
        </w:rPr>
        <w:t>___</w:t>
      </w:r>
      <w:r>
        <w:rPr>
          <w:bCs/>
          <w:sz w:val="24"/>
          <w:szCs w:val="24"/>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ListParagraph"/>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производство и / или приобретение Товара;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shd w:val="clear" w:color="auto" w:fill="FFFFFF"/>
        <w:tabs>
          <w:tab w:val="clear" w:pos="709"/>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val="clear" w:color="auto" w:fill="FFFFFF"/>
        <w:tabs>
          <w:tab w:val="clear" w:pos="709"/>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shd w:val="clear" w:color="auto" w:fill="FFFFFF"/>
        <w:tabs>
          <w:tab w:val="clear" w:pos="709"/>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Авансовый платеж за Товар в размере 30 (тридцати) процентов от стоимости Товара без учета НДС, кроме того НДС по ставке, установленной статьей 164 НК РФ на дату выплаты авансового платежа,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даты поставки  Товара, и с учетом пункта 2.4.3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Последующий платеж в размере разницы между стоимостью Товара без учета НДС, кроме того НДС по ставке, установленной статьей 164 НК РФ на дату подписания Сторонами накладной ТОРГ-12/УПД, и суммой ранее уплаченного авансового платежа, выплачивается Поставщику в течение 7 (семи) рабочих дней с даты подписания Сторонами накладной ТОРГ-12/УПД, на основании счета, выставленного Поставщиком, и с учетом пункта 2.4.3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val="clear" w:color="auto" w:fill="FFFFFF"/>
        <w:tabs>
          <w:tab w:val="clear" w:pos="709"/>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ListParagraph"/>
        <w:numPr>
          <w:ilvl w:val="1"/>
          <w:numId w:val="2"/>
        </w:numPr>
        <w:tabs>
          <w:tab w:val="clear" w:pos="709"/>
          <w:tab w:val="left" w:pos="1134" w:leader="none"/>
        </w:tabs>
        <w:ind w:left="0" w:firstLine="709"/>
        <w:jc w:val="both"/>
        <w:rPr>
          <w:sz w:val="24"/>
          <w:szCs w:val="24"/>
        </w:rPr>
      </w:pPr>
      <w:r>
        <w:rPr>
          <w:sz w:val="24"/>
          <w:szCs w:val="24"/>
        </w:rPr>
        <w:t>Поставщик обязан представить Покупателю счета-фактуры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(УПД)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(УПД),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9"/>
          <w:tab w:val="left" w:pos="1134" w:leader="none"/>
        </w:tabs>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pPr>
        <w:pStyle w:val="ListParagraph"/>
        <w:numPr>
          <w:ilvl w:val="1"/>
          <w:numId w:val="2"/>
        </w:numPr>
        <w:tabs>
          <w:tab w:val="clear" w:pos="709"/>
          <w:tab w:val="left" w:pos="1134" w:leader="none"/>
        </w:tabs>
        <w:ind w:left="0" w:firstLine="709"/>
        <w:jc w:val="both"/>
        <w:rPr>
          <w:sz w:val="24"/>
          <w:szCs w:val="24"/>
        </w:rPr>
      </w:pPr>
      <w:r>
        <w:rPr>
          <w:sz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rPr>
          <w:iCs/>
          <w:sz w:val="24"/>
          <w:szCs w:val="24"/>
        </w:rPr>
        <w:t>Поставщика перед Покупателем</w:t>
      </w:r>
      <w:r>
        <w:rPr>
          <w:sz w:val="24"/>
        </w:rPr>
        <w:t>,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Normal"/>
        <w:tabs>
          <w:tab w:val="clear" w:pos="709"/>
          <w:tab w:val="left" w:pos="1134" w:leader="none"/>
        </w:tabs>
        <w:ind w:firstLine="709"/>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rPr>
          <w:sz w:val="24"/>
          <w:szCs w:val="24"/>
        </w:rPr>
      </w:pPr>
      <w:r>
        <w:rPr>
          <w:sz w:val="24"/>
          <w:szCs w:val="24"/>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sz w:val="24"/>
          <w:szCs w:val="24"/>
        </w:rPr>
        <w:t>Поставка Товара осуществляется одной партией в Место поставки, указанное в пункте 1.3 Договора.</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sz w:val="24"/>
          <w:szCs w:val="24"/>
        </w:rPr>
        <w:t xml:space="preserve"> </w:t>
      </w:r>
      <w:r>
        <w:rPr>
          <w:bCs/>
          <w:sz w:val="24"/>
          <w:szCs w:val="24"/>
        </w:rPr>
        <w:t>в том числе, указанным в Спецификации (Приложение № 1 к Договору), а также Применимого права.</w:t>
      </w:r>
    </w:p>
    <w:p>
      <w:pPr>
        <w:pStyle w:val="ListParagraph"/>
        <w:widowControl/>
        <w:numPr>
          <w:ilvl w:val="0"/>
          <w:numId w:val="0"/>
        </w:numPr>
        <w:shd w:val="clear" w:color="auto" w:fill="FFFFFF"/>
        <w:tabs>
          <w:tab w:val="clear" w:pos="709"/>
          <w:tab w:val="left" w:pos="1134" w:leader="none"/>
        </w:tabs>
        <w:ind w:left="0" w:hanging="0"/>
        <w:jc w:val="both"/>
        <w:rPr>
          <w:bCs/>
          <w:sz w:val="24"/>
          <w:szCs w:val="24"/>
        </w:rPr>
      </w:pPr>
      <w:r>
        <w:rPr>
          <w:bCs/>
          <w:sz w:val="24"/>
          <w:szCs w:val="24"/>
          <w:shd w:fill="auto" w:val="clear"/>
        </w:rPr>
        <w:t xml:space="preserve">           </w:t>
      </w:r>
      <w:r>
        <w:rPr>
          <w:bCs/>
          <w:sz w:val="24"/>
          <w:szCs w:val="24"/>
          <w:shd w:fill="auto" w:val="clear"/>
        </w:rPr>
        <w:t xml:space="preserve">Поставщик не вправе производить замену Товара, содержащегося в одном из реестров, предусмотренных Постановлением Правительства РФ от 23.12.2024 № 1875 </w:t>
      </w:r>
      <w:r>
        <w:rPr>
          <w:b w:val="false"/>
          <w:bCs/>
          <w:i w:val="false"/>
          <w:caps w:val="false"/>
          <w:smallCaps w:val="false"/>
          <w:color w:val="000000"/>
          <w:spacing w:val="0"/>
          <w:sz w:val="24"/>
          <w:szCs w:val="24"/>
          <w:shd w:fill="auto" w:val="clear"/>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Normal"/>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9"/>
          <w:tab w:val="left" w:pos="1418" w:leader="none"/>
        </w:tabs>
        <w:ind w:left="0" w:firstLine="709"/>
        <w:jc w:val="both"/>
        <w:rPr>
          <w:sz w:val="24"/>
          <w:szCs w:val="24"/>
        </w:rPr>
      </w:pPr>
      <w:r>
        <w:rPr>
          <w:sz w:val="24"/>
          <w:szCs w:val="24"/>
        </w:rPr>
        <w:t>сертификат качества в 2 (двух) экз.;</w:t>
      </w:r>
    </w:p>
    <w:p>
      <w:pPr>
        <w:pStyle w:val="Normal"/>
        <w:numPr>
          <w:ilvl w:val="0"/>
          <w:numId w:val="4"/>
        </w:numPr>
        <w:tabs>
          <w:tab w:val="clear" w:pos="709"/>
          <w:tab w:val="left" w:pos="1418" w:leader="none"/>
        </w:tabs>
        <w:ind w:left="0" w:firstLine="709"/>
        <w:jc w:val="both"/>
        <w:rPr>
          <w:sz w:val="24"/>
          <w:szCs w:val="24"/>
        </w:rPr>
      </w:pPr>
      <w:r>
        <w:rPr>
          <w:sz w:val="24"/>
          <w:szCs w:val="24"/>
        </w:rPr>
        <w:t>технический паспорт на русском языке в 2 (двух) экз.;</w:t>
      </w:r>
    </w:p>
    <w:p>
      <w:pPr>
        <w:pStyle w:val="Normal"/>
        <w:numPr>
          <w:ilvl w:val="0"/>
          <w:numId w:val="4"/>
        </w:numPr>
        <w:tabs>
          <w:tab w:val="clear" w:pos="709"/>
          <w:tab w:val="left" w:pos="1418" w:leader="none"/>
        </w:tabs>
        <w:ind w:left="0" w:firstLine="709"/>
        <w:jc w:val="both"/>
        <w:rPr>
          <w:sz w:val="24"/>
          <w:szCs w:val="24"/>
        </w:rPr>
      </w:pPr>
      <w:r>
        <w:rPr>
          <w:sz w:val="24"/>
          <w:szCs w:val="24"/>
        </w:rPr>
        <w:t>инструкция по эксплуатации на русском языке в 2 (двух) экз.;</w:t>
      </w:r>
    </w:p>
    <w:p>
      <w:pPr>
        <w:pStyle w:val="Normal"/>
        <w:numPr>
          <w:ilvl w:val="0"/>
          <w:numId w:val="4"/>
        </w:numPr>
        <w:tabs>
          <w:tab w:val="clear" w:pos="709"/>
          <w:tab w:val="left" w:pos="1418" w:leader="none"/>
        </w:tabs>
        <w:ind w:left="0" w:firstLine="709"/>
        <w:jc w:val="both"/>
        <w:rPr>
          <w:sz w:val="24"/>
          <w:szCs w:val="24"/>
        </w:rPr>
      </w:pPr>
      <w:r>
        <w:rPr>
          <w:sz w:val="24"/>
          <w:szCs w:val="24"/>
        </w:rPr>
        <w:t>упаковочный лист в 2 (двух) экз.;</w:t>
      </w:r>
    </w:p>
    <w:p>
      <w:pPr>
        <w:pStyle w:val="Normal"/>
        <w:numPr>
          <w:ilvl w:val="0"/>
          <w:numId w:val="3"/>
        </w:numPr>
        <w:tabs>
          <w:tab w:val="clear" w:pos="709"/>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shd w:val="clear" w:color="auto" w:fill="FFFFFF"/>
        <w:tabs>
          <w:tab w:val="clear" w:pos="709"/>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2 (двух) экз.;</w:t>
      </w:r>
    </w:p>
    <w:p>
      <w:pPr>
        <w:pStyle w:val="Normal"/>
        <w:numPr>
          <w:ilvl w:val="0"/>
          <w:numId w:val="3"/>
        </w:numPr>
        <w:shd w:val="clear" w:color="auto" w:fill="FFFFFF"/>
        <w:tabs>
          <w:tab w:val="clear" w:pos="709"/>
          <w:tab w:val="left" w:pos="1418" w:leader="none"/>
        </w:tabs>
        <w:ind w:left="0" w:firstLine="709"/>
        <w:jc w:val="both"/>
        <w:rPr>
          <w:sz w:val="24"/>
          <w:szCs w:val="24"/>
        </w:rPr>
      </w:pPr>
      <w:r>
        <w:rPr>
          <w:sz w:val="24"/>
          <w:szCs w:val="24"/>
        </w:rPr>
        <w:t>накладная ТОРГ-12 в 2 (двух) экз/(УПД).</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r>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shd w:val="clear" w:color="auto" w:fill="FFFFFF"/>
        <w:tabs>
          <w:tab w:val="clear" w:pos="709"/>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r>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Cs/>
          <w:sz w:val="24"/>
          <w:szCs w:val="24"/>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shd w:val="clear" w:color="auto" w:fill="FFFFFF"/>
        <w:tabs>
          <w:tab w:val="clear" w:pos="709"/>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val="clear" w:color="auto" w:fill="FFFFFF"/>
        <w:tabs>
          <w:tab w:val="clear" w:pos="709"/>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 xml:space="preserve">Погрузка, доставка, разгрузка и перемещение Товара (в том числе </w:t>
        <w:br/>
        <w:t xml:space="preserve">по территории Покупателя) </w:t>
      </w:r>
      <w:r>
        <w:rPr>
          <w:bCs/>
          <w:sz w:val="24"/>
          <w:szCs w:val="24"/>
        </w:rPr>
        <w:t>осуществляется</w:t>
      </w:r>
      <w:r>
        <w:rPr>
          <w:sz w:val="24"/>
          <w:szCs w:val="24"/>
        </w:rPr>
        <w:t xml:space="preserve"> Поставщиком. Стоимость погрузки, доставки, разгрузки и перемещения Товара включена в стоимость Товара.</w:t>
      </w:r>
    </w:p>
    <w:p>
      <w:pPr>
        <w:pStyle w:val="ListParagraph"/>
        <w:widowContro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bookmarkStart w:id="2" w:name="_Ref361396594"/>
      <w:r>
        <w:rPr>
          <w:sz w:val="24"/>
          <w:szCs w:val="24"/>
        </w:rPr>
        <w:t xml:space="preserve">Датой поставки Товара является дата подписания Сторонами накладной </w:t>
        <w:br/>
        <w:t>ТОРГ-12/(УПД).</w:t>
      </w:r>
      <w:bookmarkEnd w:id="2"/>
      <w:r>
        <w:rPr>
          <w:sz w:val="24"/>
          <w:szCs w:val="24"/>
        </w:rPr>
        <w:t xml:space="preserve">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pPr>
        <w:pStyle w:val="ListParagraph"/>
        <w:shd w:val="clear" w:color="auto" w:fill="FFFFFF"/>
        <w:tabs>
          <w:tab w:val="clear" w:pos="709"/>
          <w:tab w:val="left" w:pos="1418" w:leader="none"/>
        </w:tabs>
        <w:ind w:left="0" w:firstLine="709"/>
        <w:jc w:val="both"/>
        <w:rPr>
          <w:sz w:val="24"/>
          <w:szCs w:val="24"/>
        </w:rPr>
      </w:pPr>
      <w:bookmarkStart w:id="3"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3"/>
      <w:r>
        <w:rPr>
          <w:sz w:val="24"/>
          <w:szCs w:val="24"/>
        </w:rPr>
        <w:t xml:space="preserve"> </w:t>
      </w:r>
    </w:p>
    <w:p>
      <w:pPr>
        <w:pStyle w:val="ListParagraph"/>
        <w:widowControl/>
        <w:numPr>
          <w:ilvl w:val="1"/>
          <w:numId w:val="2"/>
        </w:numPr>
        <w:shd w:val="clear" w:color="auto" w:fill="FFFFFF"/>
        <w:tabs>
          <w:tab w:val="clear" w:pos="709"/>
          <w:tab w:val="left" w:pos="1418"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в присутствии представителя Поставщика в течение 10 (десяти) рабочих дней </w:t>
        <w:br/>
        <w:t>с даты подписания Покупателем транспортных документов. В случае отсутствия замечаний Покупатель подписывает накладную ТОРГ-12/(УПД).</w:t>
      </w:r>
    </w:p>
    <w:p>
      <w:pPr>
        <w:pStyle w:val="Normal"/>
        <w:numPr>
          <w:ilvl w:val="1"/>
          <w:numId w:val="2"/>
        </w:numPr>
        <w:shd w:val="clear" w:color="auto" w:fill="FFFFFF"/>
        <w:tabs>
          <w:tab w:val="clear" w:pos="709"/>
          <w:tab w:val="left" w:pos="568" w:leader="none"/>
          <w:tab w:val="left" w:pos="1134"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val="clear" w:color="auto" w:fill="FFFFFF"/>
        <w:tabs>
          <w:tab w:val="clear" w:pos="709"/>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Товара.</w:t>
      </w:r>
    </w:p>
    <w:p>
      <w:pPr>
        <w:pStyle w:val="Normal"/>
        <w:numPr>
          <w:ilvl w:val="1"/>
          <w:numId w:val="2"/>
        </w:numPr>
        <w:shd w:val="clear" w:color="auto" w:fill="FFFFFF"/>
        <w:tabs>
          <w:tab w:val="clear" w:pos="709"/>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shd w:val="clear" w:color="auto" w:fill="FFFFFF"/>
        <w:tabs>
          <w:tab w:val="clear" w:pos="709"/>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Pr>
          <w:b/>
          <w:bCs/>
          <w:color w:val="000000"/>
          <w:sz w:val="24"/>
          <w:szCs w:val="24"/>
        </w:rPr>
        <w:t xml:space="preserve"> </w:t>
      </w:r>
    </w:p>
    <w:p>
      <w:pPr>
        <w:pStyle w:val="ListParagraph"/>
        <w:widowControl/>
        <w:numPr>
          <w:ilvl w:val="1"/>
          <w:numId w:val="2"/>
        </w:numPr>
        <w:shd w:val="clear" w:color="auto" w:fill="FFFFFF"/>
        <w:tabs>
          <w:tab w:val="clear" w:pos="709"/>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ТОРГ-12/(УПД).</w:t>
      </w:r>
    </w:p>
    <w:p>
      <w:pPr>
        <w:pStyle w:val="Normal"/>
        <w:shd w:val="clear" w:color="auto" w:fill="FFFFFF"/>
        <w:ind w:firstLine="709"/>
        <w:jc w:val="both"/>
        <w:rPr>
          <w:sz w:val="24"/>
          <w:szCs w:val="24"/>
        </w:rPr>
      </w:pPr>
      <w:r>
        <w:rPr>
          <w:sz w:val="24"/>
          <w:szCs w:val="24"/>
        </w:rPr>
      </w:r>
    </w:p>
    <w:p>
      <w:pPr>
        <w:pStyle w:val="ListParagraph"/>
        <w:numPr>
          <w:ilvl w:val="0"/>
          <w:numId w:val="2"/>
        </w:numPr>
        <w:shd w:val="clear" w:color="auto" w:fill="FFFFFF"/>
        <w:tabs>
          <w:tab w:val="clear" w:pos="709"/>
          <w:tab w:val="left" w:pos="284" w:leader="none"/>
        </w:tabs>
        <w:ind w:left="357" w:hanging="357"/>
        <w:jc w:val="center"/>
        <w:rPr>
          <w:b/>
          <w:sz w:val="24"/>
          <w:szCs w:val="24"/>
        </w:rPr>
      </w:pPr>
      <w:r>
        <w:rPr>
          <w:b/>
          <w:sz w:val="24"/>
          <w:szCs w:val="24"/>
        </w:rPr>
        <w:t>Гарантийный срок</w:t>
      </w:r>
    </w:p>
    <w:p>
      <w:pPr>
        <w:pStyle w:val="ListParagraph"/>
        <w:numPr>
          <w:ilvl w:val="1"/>
          <w:numId w:val="2"/>
        </w:numPr>
        <w:tabs>
          <w:tab w:val="left" w:pos="709" w:leader="none"/>
          <w:tab w:val="left" w:pos="1134" w:leader="none"/>
        </w:tabs>
        <w:ind w:left="0" w:firstLine="709"/>
        <w:jc w:val="both"/>
        <w:rPr>
          <w:sz w:val="24"/>
          <w:szCs w:val="24"/>
        </w:rPr>
      </w:pPr>
      <w:r>
        <w:rPr>
          <w:sz w:val="24"/>
          <w:szCs w:val="24"/>
        </w:rPr>
        <w:t xml:space="preserve">Гарантийный срок на Товар, поставленный по Договору, составляет 12 (двенадцать) месяцев и начинает течь с даты подписания Сторонами накладной ТОРГ-12/УПД. Гарантийный срок может быть продлен в соответствии с условиями Договора. </w:t>
      </w:r>
    </w:p>
    <w:p>
      <w:pPr>
        <w:pStyle w:val="ListParagraph"/>
        <w:tabs>
          <w:tab w:val="clear" w:pos="709"/>
          <w:tab w:val="left" w:pos="1134" w:leader="none"/>
          <w:tab w:val="left" w:pos="1851" w:leader="none"/>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6"/>
      <w:bookmarkStart w:id="5" w:name="OLE_LINK5"/>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pPr>
        <w:pStyle w:val="Normal"/>
        <w:shd w:val="clear" w:color="auto" w:fill="FFFFFF"/>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shd w:val="clear" w:color="auto" w:fill="FFFFFF"/>
        <w:tabs>
          <w:tab w:val="clear" w:pos="709"/>
          <w:tab w:val="left" w:pos="1134" w:leader="none"/>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rPr/>
      </w:pPr>
      <w:r>
        <w:rPr/>
      </w:r>
    </w:p>
    <w:p>
      <w:pPr>
        <w:pStyle w:val="Normal"/>
        <w:numPr>
          <w:ilvl w:val="0"/>
          <w:numId w:val="2"/>
        </w:numPr>
        <w:shd w:val="clear" w:color="auto" w:fill="FFFFFF"/>
        <w:tabs>
          <w:tab w:val="clear" w:pos="709"/>
          <w:tab w:val="left" w:pos="284" w:leader="none"/>
        </w:tabs>
        <w:ind w:left="0" w:hanging="0"/>
        <w:jc w:val="center"/>
        <w:rPr>
          <w:b/>
          <w:bCs/>
          <w:sz w:val="24"/>
          <w:szCs w:val="24"/>
        </w:rPr>
      </w:pPr>
      <w:r>
        <w:rPr>
          <w:b/>
          <w:bCs/>
          <w:sz w:val="24"/>
          <w:szCs w:val="24"/>
        </w:rPr>
        <w:t>Ответственность Сторон</w:t>
      </w:r>
    </w:p>
    <w:p>
      <w:pPr>
        <w:pStyle w:val="ListParagraph"/>
        <w:numPr>
          <w:ilvl w:val="1"/>
          <w:numId w:val="2"/>
        </w:numPr>
        <w:tabs>
          <w:tab w:val="clear" w:pos="709"/>
          <w:tab w:val="left" w:pos="1134"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Покупатель не несет ответственности за ненадлежащее исполнение обязательств </w:t>
        <w:br/>
        <w:t>по внесению предварительной оплаты (аванса). В случае нарушения Покупателем срока выплаты авансового платежа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9"/>
          <w:tab w:val="left" w:pos="1134" w:leader="none"/>
        </w:tabs>
        <w:ind w:left="0" w:firstLine="709"/>
        <w:jc w:val="both"/>
        <w:rPr>
          <w:bCs/>
          <w:sz w:val="24"/>
          <w:szCs w:val="24"/>
        </w:rPr>
      </w:pPr>
      <w:r>
        <w:rPr>
          <w:bCs/>
          <w:sz w:val="24"/>
          <w:szCs w:val="24"/>
        </w:rPr>
        <w:t>В случае нарушения Покупателем сроков оплаты поставленного товара, результатов выполненных работ/оказанных услуг,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p>
    <w:p>
      <w:pPr>
        <w:pStyle w:val="Normal"/>
        <w:widowControl/>
        <w:numPr>
          <w:ilvl w:val="1"/>
          <w:numId w:val="2"/>
        </w:numPr>
        <w:tabs>
          <w:tab w:val="clear" w:pos="709"/>
          <w:tab w:val="left" w:pos="1134" w:leader="none"/>
        </w:tabs>
        <w:ind w:left="0" w:firstLine="709"/>
        <w:jc w:val="both"/>
        <w:rPr>
          <w:bCs/>
          <w:sz w:val="24"/>
          <w:szCs w:val="24"/>
        </w:rPr>
      </w:pPr>
      <w:r>
        <w:rPr>
          <w:bCs/>
          <w:sz w:val="24"/>
          <w:szCs w:val="24"/>
        </w:rPr>
        <w:t xml:space="preserve">В случае </w:t>
      </w:r>
      <w:r>
        <w:rPr>
          <w:sz w:val="24"/>
          <w:szCs w:val="24"/>
        </w:rPr>
        <w:t>нарушения Поставщиком обязательств по поставке Товара (</w:t>
      </w:r>
      <w:r>
        <w:rPr>
          <w:rFonts w:eastAsia="Calibri"/>
          <w:bCs/>
          <w:sz w:val="24"/>
          <w:szCs w:val="24"/>
        </w:rPr>
        <w:t>нарушение срока поставки, недопоставка)</w:t>
      </w:r>
      <w:r>
        <w:rPr>
          <w:sz w:val="24"/>
          <w:szCs w:val="24"/>
        </w:rPr>
        <w:t>, Покупатель вправе требовать уплаты Поставщиком н</w:t>
      </w:r>
      <w:r>
        <w:rPr>
          <w:rFonts w:eastAsia="Calibri"/>
          <w:bCs/>
          <w:sz w:val="24"/>
          <w:szCs w:val="24"/>
        </w:rPr>
        <w:t xml:space="preserve">еустойки в размере 0,1 (ноль целых и одна десятая) </w:t>
      </w:r>
      <w:r>
        <w:rPr>
          <w:bCs/>
          <w:sz w:val="24"/>
          <w:szCs w:val="24"/>
        </w:rPr>
        <w:t>процента от Цены</w:t>
      </w:r>
      <w:r>
        <w:rPr>
          <w:rFonts w:eastAsia="Calibri"/>
          <w:bCs/>
          <w:sz w:val="24"/>
          <w:szCs w:val="24"/>
        </w:rPr>
        <w:t xml:space="preserve"> Договора</w:t>
      </w:r>
      <w:r>
        <w:rPr>
          <w:bCs/>
          <w:sz w:val="24"/>
          <w:szCs w:val="24"/>
        </w:rPr>
        <w:t xml:space="preserve"> за каждый день просрочки.</w:t>
      </w:r>
    </w:p>
    <w:p>
      <w:pPr>
        <w:pStyle w:val="Normal"/>
        <w:widowControl/>
        <w:numPr>
          <w:ilvl w:val="1"/>
          <w:numId w:val="2"/>
        </w:numPr>
        <w:tabs>
          <w:tab w:val="clear" w:pos="709"/>
          <w:tab w:val="left" w:pos="1134" w:leader="none"/>
        </w:tabs>
        <w:ind w:left="0" w:firstLine="709"/>
        <w:jc w:val="both"/>
        <w:rPr>
          <w:bCs/>
          <w:sz w:val="24"/>
          <w:szCs w:val="24"/>
        </w:rPr>
      </w:pPr>
      <w:r>
        <w:rPr>
          <w:rFonts w:eastAsia="Calibri"/>
          <w:bCs/>
          <w:sz w:val="24"/>
          <w:szCs w:val="24"/>
        </w:rPr>
        <w:t>В случае несвоевременного устранения Поставщиком выявленных недостатков Товара,  Покупатель вправе требовать уплаты Поставщиком:</w:t>
      </w:r>
    </w:p>
    <w:p>
      <w:pPr>
        <w:pStyle w:val="ListParagraph"/>
        <w:widowControl/>
        <w:numPr>
          <w:ilvl w:val="2"/>
          <w:numId w:val="2"/>
        </w:numPr>
        <w:tabs>
          <w:tab w:val="clear" w:pos="709"/>
          <w:tab w:val="left" w:pos="1418" w:leader="none"/>
          <w:tab w:val="left" w:pos="1701" w:leader="none"/>
          <w:tab w:val="left" w:pos="1985" w:leader="none"/>
        </w:tabs>
        <w:ind w:left="0" w:firstLine="709"/>
        <w:jc w:val="both"/>
        <w:rPr>
          <w:bCs/>
          <w:sz w:val="24"/>
          <w:szCs w:val="24"/>
        </w:rPr>
      </w:pPr>
      <w:r>
        <w:rPr>
          <w:bCs/>
          <w:sz w:val="24"/>
          <w:szCs w:val="24"/>
        </w:rPr>
        <w:t xml:space="preserve">Неустойки в размере 0,1 </w:t>
      </w:r>
      <w:r>
        <w:rPr>
          <w:sz w:val="24"/>
          <w:szCs w:val="24"/>
        </w:rPr>
        <w:t>(ноль целых и одна десятая) процента</w:t>
      </w:r>
      <w:r>
        <w:rPr>
          <w:bCs/>
          <w:sz w:val="24"/>
          <w:szCs w:val="24"/>
        </w:rPr>
        <w:t xml:space="preserve">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в целом</w:t>
      </w:r>
      <w:r>
        <w:rPr>
          <w:rFonts w:eastAsia="Calibri"/>
          <w:bCs/>
          <w:sz w:val="24"/>
          <w:szCs w:val="24"/>
        </w:rPr>
        <w:t>;</w:t>
      </w:r>
    </w:p>
    <w:p>
      <w:pPr>
        <w:pStyle w:val="ListParagraph"/>
        <w:widowControl/>
        <w:numPr>
          <w:ilvl w:val="2"/>
          <w:numId w:val="2"/>
        </w:numPr>
        <w:tabs>
          <w:tab w:val="clear" w:pos="709"/>
          <w:tab w:val="left" w:pos="1418" w:leader="none"/>
          <w:tab w:val="left" w:pos="1701" w:leader="none"/>
          <w:tab w:val="left" w:pos="1985" w:leader="none"/>
        </w:tabs>
        <w:ind w:left="0" w:firstLine="709"/>
        <w:jc w:val="both"/>
        <w:rPr>
          <w:bCs/>
          <w:sz w:val="24"/>
          <w:szCs w:val="24"/>
        </w:rPr>
      </w:pPr>
      <w:r>
        <w:rPr>
          <w:rFonts w:eastAsia="Calibri"/>
          <w:bCs/>
          <w:sz w:val="24"/>
          <w:szCs w:val="24"/>
        </w:rPr>
        <w:t>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недостатков Товара, не влияющих на возможность эксплуатации (использования) Товара в целом.</w:t>
      </w:r>
    </w:p>
    <w:p>
      <w:pPr>
        <w:pStyle w:val="ListParagraph"/>
        <w:widowControl/>
        <w:numPr>
          <w:ilvl w:val="1"/>
          <w:numId w:val="2"/>
        </w:numPr>
        <w:tabs>
          <w:tab w:val="clear" w:pos="709"/>
          <w:tab w:val="left" w:pos="1134" w:leader="none"/>
          <w:tab w:val="left" w:pos="1701" w:leader="none"/>
        </w:tabs>
        <w:ind w:left="0" w:firstLine="709"/>
        <w:jc w:val="both"/>
        <w:rPr>
          <w:sz w:val="24"/>
          <w:szCs w:val="24"/>
        </w:rPr>
      </w:pPr>
      <w:r>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sz w:val="24"/>
          <w:szCs w:val="24"/>
        </w:rPr>
        <w:t>.</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 </w:t>
      </w:r>
    </w:p>
    <w:p>
      <w:pPr>
        <w:pStyle w:val="ListParagraph"/>
        <w:widowControl/>
        <w:numPr>
          <w:ilvl w:val="1"/>
          <w:numId w:val="2"/>
        </w:numPr>
        <w:shd w:val="clear" w:color="auto" w:fill="FFFFFF"/>
        <w:tabs>
          <w:tab w:val="clear" w:pos="709"/>
          <w:tab w:val="left" w:pos="1134" w:leader="none"/>
        </w:tabs>
        <w:ind w:left="0" w:firstLine="709"/>
        <w:jc w:val="both"/>
        <w:rPr>
          <w:bCs/>
          <w:sz w:val="24"/>
          <w:szCs w:val="24"/>
        </w:rPr>
      </w:pPr>
      <w:r>
        <w:rPr>
          <w:bCs/>
          <w:sz w:val="24"/>
          <w:szCs w:val="24"/>
        </w:rPr>
        <w:t xml:space="preserve">Если в результате составления и выставления Поставщиком счетов-фактур (УПД)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НДС, пеней и налоговых санкций, Поставщик обязан компенсировать Покупателю сумму таких расходов. </w:t>
      </w:r>
    </w:p>
    <w:p>
      <w:pPr>
        <w:pStyle w:val="ListParagraph"/>
        <w:widowControl/>
        <w:numPr>
          <w:ilvl w:val="0"/>
          <w:numId w:val="0"/>
        </w:numPr>
        <w:shd w:val="clear" w:color="auto" w:fill="FFFFFF"/>
        <w:tabs>
          <w:tab w:val="clear" w:pos="709"/>
          <w:tab w:val="left" w:pos="1134" w:leader="none"/>
        </w:tabs>
        <w:ind w:left="0" w:hanging="0"/>
        <w:jc w:val="both"/>
        <w:rPr>
          <w:bCs/>
          <w:sz w:val="24"/>
          <w:szCs w:val="24"/>
        </w:rPr>
      </w:pPr>
      <w:r>
        <w:rPr>
          <w:bCs/>
          <w:sz w:val="24"/>
          <w:szCs w:val="24"/>
        </w:rPr>
        <w:t xml:space="preserve">       </w:t>
      </w:r>
      <w:r>
        <w:rPr>
          <w:bCs/>
          <w:sz w:val="24"/>
          <w:szCs w:val="24"/>
        </w:rPr>
        <w:t xml:space="preserve">Основанием для компенсации являются решения налоговых органов, вынесенные по итогам проведения мероприятий налогового контроля. </w:t>
      </w:r>
    </w:p>
    <w:p>
      <w:pPr>
        <w:pStyle w:val="ListParagraph"/>
        <w:widowControl/>
        <w:numPr>
          <w:ilvl w:val="0"/>
          <w:numId w:val="0"/>
        </w:numPr>
        <w:shd w:val="clear" w:color="auto" w:fill="FFFFFF"/>
        <w:tabs>
          <w:tab w:val="clear" w:pos="709"/>
          <w:tab w:val="left" w:pos="1134" w:leader="none"/>
        </w:tabs>
        <w:ind w:left="0" w:hanging="0"/>
        <w:jc w:val="both"/>
        <w:rPr>
          <w:bCs/>
          <w:sz w:val="24"/>
          <w:szCs w:val="24"/>
        </w:rPr>
      </w:pPr>
      <w:r>
        <w:rPr>
          <w:bCs/>
          <w:sz w:val="24"/>
          <w:szCs w:val="24"/>
        </w:rPr>
        <w:t xml:space="preserve">       </w:t>
      </w:r>
      <w:r>
        <w:rPr>
          <w:bCs/>
          <w:sz w:val="24"/>
          <w:szCs w:val="24"/>
        </w:rPr>
        <w:t>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val="clear" w:color="auto" w:fill="FFFFFF"/>
        <w:tabs>
          <w:tab w:val="clear" w:pos="709"/>
          <w:tab w:val="left" w:pos="1134" w:leader="none"/>
        </w:tabs>
        <w:ind w:left="0" w:firstLine="709"/>
        <w:jc w:val="both"/>
        <w:rPr/>
      </w:pPr>
      <w:r>
        <w:rPr>
          <w:bCs/>
          <w:sz w:val="24"/>
          <w:szCs w:val="24"/>
        </w:rPr>
        <w:t>В случае нарушения Поставщиком сроков предоставления счетов-фактур (УПД),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1"/>
          <w:numId w:val="2"/>
        </w:numPr>
        <w:shd w:val="clear" w:color="auto" w:fill="FFFFFF"/>
        <w:tabs>
          <w:tab w:val="clear" w:pos="709"/>
          <w:tab w:val="left" w:pos="1276" w:leader="none"/>
        </w:tabs>
        <w:ind w:left="0" w:firstLine="709"/>
        <w:jc w:val="both"/>
        <w:rPr>
          <w:bCs/>
          <w:sz w:val="24"/>
          <w:szCs w:val="24"/>
        </w:rPr>
      </w:pPr>
      <w:r>
        <w:rPr>
          <w:bCs/>
          <w:sz w:val="24"/>
          <w:szCs w:val="24"/>
        </w:rPr>
        <w:t xml:space="preserve">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shd w:val="clear" w:color="auto" w:fill="FFFFFF"/>
        <w:tabs>
          <w:tab w:val="clear" w:pos="709"/>
          <w:tab w:val="left" w:pos="1276" w:leader="none"/>
          <w:tab w:val="left" w:pos="1418" w:leader="none"/>
        </w:tabs>
        <w:ind w:left="0" w:firstLine="709"/>
        <w:jc w:val="both"/>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9"/>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9"/>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shd w:val="clear" w:color="auto" w:fill="FFFFFF"/>
        <w:tabs>
          <w:tab w:val="clear" w:pos="709"/>
          <w:tab w:val="left" w:pos="0" w:leader="none"/>
          <w:tab w:val="left" w:pos="1134" w:leader="none"/>
        </w:tabs>
        <w:ind w:lef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2"/>
        </w:numPr>
        <w:shd w:val="clear" w:color="auto" w:fill="FFFFFF"/>
        <w:tabs>
          <w:tab w:val="clear" w:pos="709"/>
          <w:tab w:val="left" w:pos="0" w:leader="none"/>
          <w:tab w:val="left" w:pos="1134"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Normal"/>
        <w:shd w:val="clear" w:color="auto" w:fill="FFFFFF"/>
        <w:jc w:val="both"/>
        <w:rPr>
          <w:bCs/>
          <w:sz w:val="24"/>
          <w:szCs w:val="24"/>
        </w:rPr>
      </w:pPr>
      <w:r>
        <w:rPr>
          <w:bCs/>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Разрешение споров</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Пермского края в соответствии с законодательством Российской Федерации.</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sz w:val="24"/>
          <w:szCs w:val="24"/>
          <w:lang w:val="en-US"/>
        </w:rPr>
        <w:t>3</w:t>
      </w:r>
      <w:r>
        <w:rPr>
          <w:bCs/>
          <w:sz w:val="24"/>
          <w:szCs w:val="24"/>
        </w:rPr>
        <w:t>.</w:t>
      </w:r>
      <w:r>
        <w:rPr>
          <w:bCs/>
          <w:sz w:val="24"/>
          <w:szCs w:val="24"/>
          <w:lang w:val="en-US"/>
        </w:rPr>
        <w:t>6</w:t>
      </w:r>
      <w:r>
        <w:rPr>
          <w:bCs/>
          <w:sz w:val="24"/>
          <w:szCs w:val="24"/>
        </w:rPr>
        <w:t xml:space="preserve">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Антикоррупционная оговорка</w:t>
      </w:r>
    </w:p>
    <w:p>
      <w:pPr>
        <w:pStyle w:val="ListParagraph"/>
        <w:numPr>
          <w:ilvl w:val="1"/>
          <w:numId w:val="2"/>
        </w:numPr>
        <w:shd w:val="clear" w:color="auto" w:fill="FFFFFF"/>
        <w:tabs>
          <w:tab w:val="clear" w:pos="709"/>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tabs>
          <w:tab w:val="clear" w:pos="709"/>
          <w:tab w:val="left" w:pos="1134" w:leader="none"/>
        </w:tabs>
        <w:ind w:firstLine="709"/>
        <w:jc w:val="both"/>
        <w:rPr>
          <w:bCs/>
          <w:color w:val="000000"/>
          <w:sz w:val="24"/>
          <w:szCs w:val="24"/>
        </w:rPr>
      </w:pPr>
      <w:r>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shd w:val="clear" w:color="auto" w:fill="FFFFFF"/>
        <w:tabs>
          <w:tab w:val="clear" w:pos="709"/>
          <w:tab w:val="left" w:pos="567" w:leader="none"/>
          <w:tab w:val="left" w:pos="1134" w:leader="none"/>
        </w:tabs>
        <w:ind w:firstLine="709"/>
        <w:jc w:val="both"/>
        <w:rPr>
          <w:color w:val="000000"/>
          <w:sz w:val="24"/>
          <w:szCs w:val="24"/>
        </w:rPr>
      </w:pPr>
      <w:r>
        <w:rPr>
          <w:color w:val="000000"/>
          <w:sz w:val="24"/>
          <w:szCs w:val="24"/>
        </w:rPr>
        <w:t xml:space="preserve">8.7.  Каналы связи Линия доверия Группы РусГидро: </w:t>
      </w:r>
    </w:p>
    <w:p>
      <w:pPr>
        <w:pStyle w:val="Normal"/>
        <w:shd w:val="clear" w:color="auto" w:fill="FFFFFF"/>
        <w:tabs>
          <w:tab w:val="clear" w:pos="709"/>
          <w:tab w:val="left" w:pos="567" w:leader="none"/>
          <w:tab w:val="left" w:pos="1134" w:leader="none"/>
        </w:tabs>
        <w:ind w:firstLine="709"/>
        <w:jc w:val="both"/>
        <w:rPr>
          <w:sz w:val="24"/>
          <w:szCs w:val="24"/>
        </w:rPr>
      </w:pPr>
      <w:r>
        <w:rPr>
          <w:sz w:val="24"/>
          <w:szCs w:val="24"/>
        </w:rPr>
        <w:t>8.7.1. Электронная почта: ld@rushydro.ru.</w:t>
      </w:r>
    </w:p>
    <w:p>
      <w:pPr>
        <w:pStyle w:val="Normal"/>
        <w:shd w:val="clear" w:color="auto" w:fill="FFFFFF"/>
        <w:tabs>
          <w:tab w:val="clear" w:pos="709"/>
          <w:tab w:val="left" w:pos="567" w:leader="none"/>
          <w:tab w:val="left" w:pos="1134" w:leader="none"/>
        </w:tabs>
        <w:ind w:firstLine="709"/>
        <w:jc w:val="both"/>
        <w:rPr>
          <w:sz w:val="24"/>
          <w:szCs w:val="24"/>
        </w:rPr>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shd w:val="clear" w:color="auto" w:fill="FFFFFF"/>
        <w:tabs>
          <w:tab w:val="clear" w:pos="709"/>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val="clear" w:color="auto" w:fill="FFFFFF"/>
        <w:jc w:val="both"/>
        <w:rPr>
          <w:sz w:val="24"/>
          <w:szCs w:val="24"/>
        </w:rPr>
      </w:pPr>
      <w:r>
        <w:rPr>
          <w:sz w:val="24"/>
          <w:szCs w:val="24"/>
        </w:rPr>
      </w:r>
    </w:p>
    <w:p>
      <w:pPr>
        <w:pStyle w:val="Normal"/>
        <w:widowControl/>
        <w:numPr>
          <w:ilvl w:val="0"/>
          <w:numId w:val="2"/>
        </w:numPr>
        <w:shd w:val="clear" w:color="auto" w:fill="FFFFFF"/>
        <w:tabs>
          <w:tab w:val="clear" w:pos="709"/>
          <w:tab w:val="left" w:pos="426" w:leader="none"/>
        </w:tabs>
        <w:spacing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4">
        <w:r>
          <w:rPr>
            <w:bCs/>
            <w:sz w:val="24"/>
            <w:szCs w:val="24"/>
          </w:rPr>
          <w:t>№ 18162/09</w:t>
        </w:r>
      </w:hyperlink>
      <w:r>
        <w:rPr>
          <w:bCs/>
          <w:sz w:val="24"/>
          <w:szCs w:val="24"/>
        </w:rPr>
        <w:t xml:space="preserve"> и от 25.05.2010 </w:t>
      </w:r>
      <w:hyperlink r:id="rId5">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6">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shd w:val="clear" w:color="auto" w:fill="FFFFFF"/>
        <w:tabs>
          <w:tab w:val="clear" w:pos="709"/>
          <w:tab w:val="left" w:pos="0" w:leader="none"/>
          <w:tab w:val="left" w:pos="568" w:leader="none"/>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shd w:val="clear" w:color="auto" w:fill="FFFFFF"/>
        <w:tabs>
          <w:tab w:val="clear" w:pos="709"/>
          <w:tab w:val="left" w:pos="1134" w:leader="none"/>
        </w:tabs>
        <w:ind w:firstLine="709"/>
        <w:jc w:val="both"/>
        <w:rPr>
          <w:bCs/>
          <w:sz w:val="24"/>
          <w:szCs w:val="24"/>
        </w:rPr>
      </w:pPr>
      <w:r>
        <w:rPr>
          <w:bCs/>
          <w:sz w:val="24"/>
          <w:szCs w:val="24"/>
        </w:rPr>
      </w:r>
    </w:p>
    <w:p>
      <w:pPr>
        <w:pStyle w:val="ListParagraph"/>
        <w:widowControl/>
        <w:numPr>
          <w:ilvl w:val="0"/>
          <w:numId w:val="2"/>
        </w:numPr>
        <w:shd w:val="clear" w:color="auto" w:fill="FFFFFF"/>
        <w:tabs>
          <w:tab w:val="clear" w:pos="709"/>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shd w:val="clear" w:color="auto" w:fill="FFFFFF"/>
        <w:tabs>
          <w:tab w:val="clear" w:pos="709"/>
          <w:tab w:val="left" w:pos="0" w:leader="none"/>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shd w:val="clear" w:color="auto" w:fill="FFFFFF"/>
        <w:tabs>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shd w:val="clear" w:color="auto" w:fill="FFFFFF"/>
        <w:tabs>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shd w:val="clear" w:color="auto" w:fill="FFFFFF"/>
        <w:tabs>
          <w:tab w:val="clear" w:pos="709"/>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и точной, и Поставщик не скрыл никаких обстоятельств, которые при их обнаружении могли 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9"/>
          <w:tab w:val="left" w:pos="0"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обязан 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val="clear" w:color="auto" w:fill="FFFFFF"/>
        <w:tabs>
          <w:tab w:val="clear" w:pos="709"/>
          <w:tab w:val="left" w:pos="1134" w:leader="none"/>
          <w:tab w:val="left" w:pos="1418" w:leader="none"/>
        </w:tabs>
        <w:ind w:left="0" w:hanging="0"/>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13.6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val="clear" w:color="auto" w:fill="FFFFFF"/>
        <w:tabs>
          <w:tab w:val="clear" w:pos="709"/>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9"/>
          <w:tab w:val="left" w:pos="0" w:leader="none"/>
          <w:tab w:val="left" w:pos="1418" w:leader="none"/>
        </w:tabs>
        <w:ind w:left="0"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11 Договора, и имеющих существенное значение для его заключения и исполнения.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val="clear" w:color="auto" w:fill="FFFFFF"/>
        <w:tabs>
          <w:tab w:val="clear" w:pos="709"/>
          <w:tab w:val="left" w:pos="1134" w:leader="none"/>
        </w:tabs>
        <w:ind w:left="0" w:hanging="0"/>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widowControl/>
        <w:numPr>
          <w:ilvl w:val="1"/>
          <w:numId w:val="2"/>
        </w:numPr>
        <w:snapToGrid w:val="false"/>
        <w:ind w:left="0" w:firstLine="709"/>
        <w:jc w:val="both"/>
        <w:rPr/>
      </w:pPr>
      <w:r>
        <w:rPr>
          <w:sz w:val="24"/>
          <w:szCs w:val="24"/>
        </w:rPr>
        <w:t>Договор заключается в электронной форме с</w:t>
      </w:r>
      <w:r>
        <w:rPr>
          <w:i/>
          <w:sz w:val="24"/>
          <w:szCs w:val="24"/>
        </w:rPr>
        <w:t xml:space="preserve"> </w:t>
      </w:r>
      <w:r>
        <w:rPr>
          <w:sz w:val="24"/>
          <w:szCs w:val="24"/>
        </w:rPr>
        <w:t xml:space="preserve">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widowControl/>
        <w:shd w:val="clear" w:color="auto" w:fill="FFFFFF"/>
        <w:tabs>
          <w:tab w:val="clear" w:pos="709"/>
          <w:tab w:val="left" w:pos="0" w:leader="none"/>
        </w:tabs>
        <w:ind w:firstLine="709"/>
        <w:jc w:val="both"/>
        <w:rPr/>
      </w:pPr>
      <w:r>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shd w:val="clear" w:color="auto" w:fill="FFFFFF"/>
        <w:tabs>
          <w:tab w:val="clear" w:pos="709"/>
          <w:tab w:val="left" w:pos="0" w:leader="none"/>
          <w:tab w:val="left" w:pos="1418" w:leader="none"/>
        </w:tabs>
        <w:ind w:left="0" w:firstLine="709"/>
        <w:jc w:val="both"/>
        <w:rPr>
          <w:sz w:val="24"/>
          <w:szCs w:val="24"/>
        </w:rPr>
      </w:pPr>
      <w:bookmarkStart w:id="9"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9"/>
      <w:r>
        <w:rPr>
          <w:sz w:val="24"/>
          <w:szCs w:val="24"/>
        </w:rPr>
        <w:t xml:space="preserve"> </w:t>
      </w:r>
    </w:p>
    <w:p>
      <w:pPr>
        <w:pStyle w:val="ListParagraph"/>
        <w:widowControl/>
        <w:numPr>
          <w:ilvl w:val="1"/>
          <w:numId w:val="2"/>
        </w:numPr>
        <w:shd w:val="clear" w:color="auto" w:fill="FFFFFF"/>
        <w:tabs>
          <w:tab w:val="clear" w:pos="709"/>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9"/>
          <w:tab w:val="left" w:pos="0" w:leader="none"/>
          <w:tab w:val="left" w:pos="1418"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Normal"/>
        <w:widowControl/>
        <w:numPr>
          <w:ilvl w:val="1"/>
          <w:numId w:val="2"/>
        </w:numPr>
        <w:tabs>
          <w:tab w:val="clear" w:pos="709"/>
          <w:tab w:val="left" w:pos="0" w:leader="none"/>
          <w:tab w:val="left" w:pos="1418" w:leader="none"/>
        </w:tabs>
        <w:ind w:left="0" w:firstLine="709"/>
        <w:jc w:val="both"/>
        <w:rPr>
          <w:bCs/>
          <w:sz w:val="24"/>
          <w:szCs w:val="24"/>
        </w:rPr>
      </w:pPr>
      <w:r>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pPr>
        <w:pStyle w:val="Normal"/>
        <w:ind w:firstLine="709"/>
        <w:jc w:val="both"/>
        <w:rPr>
          <w:sz w:val="24"/>
          <w:szCs w:val="24"/>
        </w:rPr>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Покупателя</w:t>
      </w:r>
      <w:r>
        <w:rPr>
          <w:sz w:val="24"/>
          <w:szCs w:val="24"/>
        </w:rPr>
        <w:t xml:space="preserve">.  </w:t>
      </w:r>
    </w:p>
    <w:p>
      <w:pPr>
        <w:pStyle w:val="ListParagraph"/>
        <w:numPr>
          <w:ilvl w:val="1"/>
          <w:numId w:val="2"/>
        </w:numPr>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Normal"/>
        <w:shd w:val="clear" w:color="auto" w:fill="FFFFFF"/>
        <w:ind w:firstLine="567"/>
        <w:jc w:val="both"/>
        <w:rPr>
          <w:sz w:val="24"/>
          <w:szCs w:val="24"/>
        </w:rPr>
      </w:pPr>
      <w:r>
        <w:rPr>
          <w:sz w:val="24"/>
          <w:szCs w:val="24"/>
        </w:rPr>
      </w:r>
    </w:p>
    <w:p>
      <w:pPr>
        <w:pStyle w:val="Normal"/>
        <w:widowControl/>
        <w:numPr>
          <w:ilvl w:val="0"/>
          <w:numId w:val="2"/>
        </w:numPr>
        <w:shd w:val="clear" w:color="auto" w:fill="FFFFFF"/>
        <w:tabs>
          <w:tab w:val="clear" w:pos="709"/>
          <w:tab w:val="left" w:pos="284" w:leader="none"/>
        </w:tabs>
        <w:spacing w:before="0" w:after="0"/>
        <w:ind w:left="0" w:hanging="360"/>
        <w:contextualSpacing/>
        <w:jc w:val="center"/>
        <w:rPr>
          <w:b/>
          <w:bCs/>
          <w:sz w:val="24"/>
          <w:szCs w:val="24"/>
        </w:rPr>
      </w:pPr>
      <w:r>
        <w:rPr>
          <w:b/>
          <w:bCs/>
          <w:sz w:val="24"/>
          <w:szCs w:val="24"/>
        </w:rPr>
        <w:t xml:space="preserve">Список приложений </w:t>
      </w:r>
    </w:p>
    <w:p>
      <w:pPr>
        <w:pStyle w:val="Normal"/>
        <w:widowControl/>
        <w:shd w:val="clear" w:color="auto" w:fill="FFFFFF"/>
        <w:tabs>
          <w:tab w:val="clear" w:pos="709"/>
          <w:tab w:val="left" w:pos="0" w:leader="none"/>
        </w:tabs>
        <w:ind w:firstLine="709"/>
        <w:jc w:val="both"/>
        <w:rPr>
          <w:rFonts w:eastAsia="Calibri"/>
          <w:sz w:val="24"/>
          <w:szCs w:val="24"/>
          <w:lang w:eastAsia="en-US"/>
        </w:rPr>
      </w:pPr>
      <w:bookmarkStart w:id="10" w:name="sub_1"/>
      <w:r>
        <w:rPr>
          <w:rFonts w:eastAsia="Calibri"/>
          <w:sz w:val="24"/>
          <w:szCs w:val="24"/>
          <w:lang w:eastAsia="en-US"/>
        </w:rPr>
        <w:t>Приложение № 1 – Спецификация.</w:t>
      </w:r>
    </w:p>
    <w:p>
      <w:pPr>
        <w:pStyle w:val="Normal"/>
        <w:widowControl/>
        <w:shd w:val="clear" w:color="auto" w:fill="FFFFFF"/>
        <w:tabs>
          <w:tab w:val="clear" w:pos="709"/>
          <w:tab w:val="left" w:pos="0" w:leader="none"/>
          <w:tab w:val="left" w:pos="2694" w:leader="none"/>
        </w:tabs>
        <w:ind w:firstLine="709"/>
        <w:jc w:val="both"/>
        <w:rPr>
          <w:rFonts w:eastAsia="Calibri"/>
          <w:sz w:val="24"/>
          <w:szCs w:val="24"/>
          <w:lang w:eastAsia="en-US"/>
        </w:rPr>
      </w:pPr>
      <w:r>
        <w:rPr>
          <w:rFonts w:eastAsia="Calibri"/>
          <w:sz w:val="24"/>
          <w:szCs w:val="24"/>
          <w:lang w:eastAsia="en-US"/>
        </w:rPr>
        <w:t xml:space="preserve">Приложение № 2 – </w:t>
      </w:r>
      <w:r>
        <w:rPr>
          <w:sz w:val="24"/>
          <w:szCs w:val="24"/>
          <w:lang w:eastAsia="x-none"/>
        </w:rPr>
        <w:t>Технические требования.</w:t>
      </w:r>
      <w:bookmarkEnd w:id="10"/>
    </w:p>
    <w:p>
      <w:pPr>
        <w:pStyle w:val="Normal"/>
        <w:ind w:firstLine="709"/>
        <w:jc w:val="both"/>
        <w:rPr>
          <w:bCs/>
          <w:sz w:val="24"/>
          <w:szCs w:val="24"/>
        </w:rPr>
      </w:pPr>
      <w:r>
        <w:rPr>
          <w:bCs/>
          <w:sz w:val="24"/>
          <w:szCs w:val="24"/>
        </w:rPr>
        <w:t xml:space="preserve">Приложение № 3 </w:t>
      </w:r>
      <w:r>
        <w:rPr>
          <w:rFonts w:eastAsia="Calibri"/>
          <w:sz w:val="24"/>
          <w:szCs w:val="24"/>
          <w:lang w:eastAsia="en-US"/>
        </w:rPr>
        <w:t>–</w:t>
      </w:r>
      <w:r>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pPr>
        <w:pStyle w:val="Normal"/>
        <w:ind w:firstLine="709"/>
        <w:jc w:val="both"/>
        <w:rPr>
          <w:sz w:val="24"/>
          <w:szCs w:val="24"/>
        </w:rPr>
      </w:pPr>
      <w:r>
        <w:rPr>
          <w:sz w:val="24"/>
          <w:szCs w:val="24"/>
        </w:rPr>
      </w:r>
    </w:p>
    <w:p>
      <w:pPr>
        <w:pStyle w:val="ListParagraph"/>
        <w:widowControl/>
        <w:numPr>
          <w:ilvl w:val="0"/>
          <w:numId w:val="2"/>
        </w:numPr>
        <w:shd w:val="clear" w:color="auto" w:fill="FFFFFF"/>
        <w:tabs>
          <w:tab w:val="clear" w:pos="709"/>
          <w:tab w:val="left" w:pos="426" w:leader="none"/>
        </w:tabs>
        <w:ind w:left="0" w:hanging="0"/>
        <w:jc w:val="center"/>
        <w:rPr>
          <w:b/>
          <w:bCs/>
          <w:sz w:val="24"/>
          <w:szCs w:val="24"/>
        </w:rPr>
      </w:pPr>
      <w:r>
        <w:rPr>
          <w:b/>
          <w:bCs/>
          <w:sz w:val="24"/>
          <w:szCs w:val="24"/>
        </w:rPr>
        <w:t>Адреса и платежные реквизиты Сторон</w:t>
      </w:r>
    </w:p>
    <w:p>
      <w:pPr>
        <w:pStyle w:val="ListParagraph"/>
        <w:widowControl/>
        <w:shd w:val="clear" w:color="auto" w:fill="FFFFFF"/>
        <w:tabs>
          <w:tab w:val="clear" w:pos="709"/>
          <w:tab w:val="left" w:pos="426" w:leader="none"/>
        </w:tabs>
        <w:ind w:left="0" w:hanging="0"/>
        <w:rPr>
          <w:b/>
          <w:bCs/>
          <w:sz w:val="24"/>
          <w:szCs w:val="24"/>
        </w:rPr>
      </w:pPr>
      <w:r>
        <w:rPr>
          <w:b/>
          <w:bCs/>
          <w:sz w:val="24"/>
          <w:szCs w:val="24"/>
        </w:rPr>
      </w:r>
    </w:p>
    <w:tbl>
      <w:tblPr>
        <w:tblW w:w="9890"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768"/>
        <w:gridCol w:w="160"/>
        <w:gridCol w:w="4626"/>
        <w:gridCol w:w="336"/>
      </w:tblGrid>
      <w:tr>
        <w:trPr/>
        <w:tc>
          <w:tcPr>
            <w:tcW w:w="4928" w:type="dxa"/>
            <w:gridSpan w:val="2"/>
            <w:tcBorders/>
          </w:tcPr>
          <w:p>
            <w:pPr>
              <w:pStyle w:val="Normal"/>
              <w:widowControl w:val="false"/>
              <w:rPr>
                <w:sz w:val="24"/>
                <w:szCs w:val="24"/>
              </w:rPr>
            </w:pPr>
            <w:r>
              <w:rPr>
                <w:sz w:val="24"/>
                <w:szCs w:val="24"/>
              </w:rPr>
              <w:t>ПОКУПАТЕЛЬ:</w:t>
            </w:r>
          </w:p>
        </w:tc>
        <w:tc>
          <w:tcPr>
            <w:tcW w:w="4962" w:type="dxa"/>
            <w:gridSpan w:val="2"/>
            <w:tcBorders/>
          </w:tcPr>
          <w:p>
            <w:pPr>
              <w:pStyle w:val="Normal"/>
              <w:widowControl w:val="false"/>
              <w:rPr>
                <w:sz w:val="24"/>
                <w:szCs w:val="24"/>
              </w:rPr>
            </w:pPr>
            <w:r>
              <w:rPr>
                <w:sz w:val="24"/>
                <w:szCs w:val="24"/>
              </w:rPr>
              <w:t>ПОСТАВЩИК:</w:t>
            </w:r>
          </w:p>
        </w:tc>
      </w:tr>
      <w:tr>
        <w:trPr/>
        <w:tc>
          <w:tcPr>
            <w:tcW w:w="4928" w:type="dxa"/>
            <w:gridSpan w:val="2"/>
            <w:tcBorders/>
            <w:shd w:color="auto" w:fill="BFBFBF" w:val="clear"/>
          </w:tcPr>
          <w:p>
            <w:pPr>
              <w:pStyle w:val="Normal"/>
              <w:widowControl w:val="false"/>
              <w:rPr>
                <w:sz w:val="24"/>
                <w:szCs w:val="24"/>
              </w:rPr>
            </w:pPr>
            <w:r>
              <w:rPr>
                <w:sz w:val="24"/>
                <w:szCs w:val="24"/>
              </w:rPr>
            </w:r>
          </w:p>
          <w:p>
            <w:pPr>
              <w:pStyle w:val="Normal"/>
              <w:widowControl w:val="false"/>
              <w:rPr>
                <w:b/>
                <w:sz w:val="24"/>
                <w:szCs w:val="24"/>
              </w:rPr>
            </w:pPr>
            <w:r>
              <w:rPr>
                <w:b/>
                <w:sz w:val="24"/>
                <w:szCs w:val="24"/>
              </w:rPr>
              <w:t>Публичное акционерное общество</w:t>
            </w:r>
          </w:p>
          <w:p>
            <w:pPr>
              <w:pStyle w:val="Normal"/>
              <w:widowControl w:val="false"/>
              <w:rPr>
                <w:b/>
                <w:sz w:val="24"/>
                <w:szCs w:val="24"/>
              </w:rPr>
            </w:pPr>
            <w:r>
              <w:rPr>
                <w:b/>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rPr>
                <w:sz w:val="24"/>
                <w:szCs w:val="24"/>
              </w:rPr>
            </w:pPr>
            <w:r>
              <w:rPr>
                <w:sz w:val="24"/>
                <w:szCs w:val="24"/>
              </w:rPr>
              <w:t>Публичное акционерное общество</w:t>
            </w:r>
          </w:p>
          <w:p>
            <w:pPr>
              <w:pStyle w:val="Normal"/>
              <w:widowControl w:val="false"/>
              <w:rPr>
                <w:sz w:val="24"/>
                <w:szCs w:val="24"/>
              </w:rPr>
            </w:pPr>
            <w:r>
              <w:rPr>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rPr>
                <w:sz w:val="24"/>
                <w:szCs w:val="24"/>
              </w:rPr>
            </w:pPr>
            <w:r>
              <w:rPr>
                <w:sz w:val="24"/>
                <w:szCs w:val="24"/>
              </w:rPr>
              <w:t>Местонахождение: 660049, Красноярский край, г.о.  Красноярск, г. Красноярск, ул. Перенсона, зд. 2а, помещ. 1</w:t>
            </w:r>
          </w:p>
          <w:p>
            <w:pPr>
              <w:pStyle w:val="Normal"/>
              <w:widowControl w:val="false"/>
              <w:rPr>
                <w:sz w:val="24"/>
                <w:szCs w:val="24"/>
              </w:rPr>
            </w:pPr>
            <w:r>
              <w:rPr>
                <w:sz w:val="24"/>
                <w:szCs w:val="24"/>
              </w:rPr>
              <w:t xml:space="preserve">Наименование филиала: </w:t>
            </w:r>
          </w:p>
          <w:p>
            <w:pPr>
              <w:pStyle w:val="Normal"/>
              <w:widowControl w:val="false"/>
              <w:rPr>
                <w:sz w:val="24"/>
                <w:szCs w:val="24"/>
              </w:rPr>
            </w:pPr>
            <w:r>
              <w:rPr>
                <w:sz w:val="24"/>
                <w:szCs w:val="24"/>
              </w:rPr>
              <w:t>Филиал ПАО «РусГидро» - «Камская ГЭС»</w:t>
            </w:r>
          </w:p>
          <w:p>
            <w:pPr>
              <w:pStyle w:val="Normal"/>
              <w:widowControl w:val="false"/>
              <w:rPr>
                <w:sz w:val="24"/>
                <w:szCs w:val="24"/>
              </w:rPr>
            </w:pPr>
            <w:r>
              <w:rPr>
                <w:sz w:val="24"/>
                <w:szCs w:val="24"/>
              </w:rPr>
              <w:t xml:space="preserve">Местонахождение филиала: </w:t>
            </w:r>
          </w:p>
          <w:p>
            <w:pPr>
              <w:pStyle w:val="Normal"/>
              <w:widowControl w:val="false"/>
              <w:rPr>
                <w:sz w:val="24"/>
                <w:szCs w:val="24"/>
              </w:rPr>
            </w:pPr>
            <w:r>
              <w:rPr>
                <w:sz w:val="24"/>
                <w:szCs w:val="24"/>
              </w:rPr>
              <w:t>г. Пермь, ул. Соликамская, д.329</w:t>
            </w:r>
          </w:p>
          <w:p>
            <w:pPr>
              <w:pStyle w:val="Normal"/>
              <w:widowControl w:val="false"/>
              <w:rPr>
                <w:sz w:val="24"/>
                <w:szCs w:val="24"/>
              </w:rPr>
            </w:pPr>
            <w:r>
              <w:rPr>
                <w:sz w:val="24"/>
                <w:szCs w:val="24"/>
              </w:rPr>
              <w:t>Почтовый адрес филиала:</w:t>
            </w:r>
          </w:p>
          <w:p>
            <w:pPr>
              <w:pStyle w:val="Normal"/>
              <w:widowControl w:val="false"/>
              <w:rPr>
                <w:sz w:val="24"/>
                <w:szCs w:val="24"/>
              </w:rPr>
            </w:pPr>
            <w:r>
              <w:rPr>
                <w:sz w:val="24"/>
                <w:szCs w:val="24"/>
              </w:rPr>
              <w:t>614030, г. Пермь, Камская ГЭС</w:t>
            </w:r>
          </w:p>
          <w:p>
            <w:pPr>
              <w:pStyle w:val="Normal"/>
              <w:widowControl w:val="false"/>
              <w:rPr>
                <w:sz w:val="24"/>
                <w:szCs w:val="24"/>
              </w:rPr>
            </w:pPr>
            <w:r>
              <w:rPr>
                <w:sz w:val="24"/>
                <w:szCs w:val="24"/>
              </w:rPr>
              <w:t>ИНН 2460066195/КПП 590702001</w:t>
            </w:r>
          </w:p>
          <w:p>
            <w:pPr>
              <w:pStyle w:val="Normal"/>
              <w:widowControl w:val="false"/>
              <w:rPr>
                <w:sz w:val="24"/>
                <w:szCs w:val="24"/>
              </w:rPr>
            </w:pPr>
            <w:r>
              <w:rPr>
                <w:sz w:val="24"/>
                <w:szCs w:val="24"/>
              </w:rPr>
              <w:t>Расчетный счет 40702810800000060254    </w:t>
            </w:r>
          </w:p>
          <w:p>
            <w:pPr>
              <w:pStyle w:val="Normal"/>
              <w:widowControl w:val="false"/>
              <w:rPr>
                <w:sz w:val="24"/>
                <w:szCs w:val="24"/>
              </w:rPr>
            </w:pPr>
            <w:r>
              <w:rPr>
                <w:sz w:val="24"/>
                <w:szCs w:val="24"/>
              </w:rPr>
              <w:t xml:space="preserve">Банка ГПБ (АО), г. Москва (ИНН 7744001497, </w:t>
            </w:r>
          </w:p>
          <w:p>
            <w:pPr>
              <w:pStyle w:val="Normal"/>
              <w:widowControl w:val="false"/>
              <w:rPr>
                <w:sz w:val="24"/>
                <w:szCs w:val="24"/>
              </w:rPr>
            </w:pPr>
            <w:r>
              <w:rPr>
                <w:sz w:val="24"/>
                <w:szCs w:val="24"/>
              </w:rPr>
              <w:t>КПП 997950001)</w:t>
            </w:r>
          </w:p>
          <w:p>
            <w:pPr>
              <w:pStyle w:val="Normal"/>
              <w:widowControl w:val="false"/>
              <w:rPr>
                <w:sz w:val="24"/>
                <w:szCs w:val="24"/>
              </w:rPr>
            </w:pPr>
            <w:r>
              <w:rPr>
                <w:sz w:val="24"/>
                <w:szCs w:val="24"/>
              </w:rPr>
              <w:t>К/с 30101810200000000823 в ГУ Банка России по ЦФО    </w:t>
            </w:r>
          </w:p>
          <w:p>
            <w:pPr>
              <w:pStyle w:val="Normal"/>
              <w:widowControl w:val="false"/>
              <w:rPr>
                <w:sz w:val="24"/>
                <w:szCs w:val="24"/>
              </w:rPr>
            </w:pPr>
            <w:r>
              <w:rPr>
                <w:sz w:val="24"/>
                <w:szCs w:val="24"/>
              </w:rPr>
              <w:t>БИК 044 525 823</w:t>
            </w:r>
          </w:p>
          <w:p>
            <w:pPr>
              <w:pStyle w:val="Normal"/>
              <w:widowControl w:val="false"/>
              <w:rPr>
                <w:sz w:val="24"/>
                <w:szCs w:val="24"/>
              </w:rPr>
            </w:pPr>
            <w:r>
              <w:rPr>
                <w:sz w:val="24"/>
                <w:szCs w:val="24"/>
              </w:rPr>
              <w:t>ОКПО 83271699</w:t>
            </w:r>
          </w:p>
          <w:p>
            <w:pPr>
              <w:pStyle w:val="Normal"/>
              <w:widowControl w:val="false"/>
              <w:rPr>
                <w:sz w:val="24"/>
                <w:szCs w:val="24"/>
              </w:rPr>
            </w:pPr>
            <w:r>
              <w:rPr>
                <w:sz w:val="24"/>
                <w:szCs w:val="24"/>
              </w:rPr>
              <w:t>ОГРН 1042401810494</w:t>
            </w:r>
          </w:p>
          <w:p>
            <w:pPr>
              <w:pStyle w:val="Normal"/>
              <w:widowControl w:val="false"/>
              <w:rPr>
                <w:sz w:val="24"/>
                <w:szCs w:val="24"/>
              </w:rPr>
            </w:pPr>
            <w:r>
              <w:rPr>
                <w:sz w:val="24"/>
                <w:szCs w:val="24"/>
              </w:rPr>
              <w:t>Тел.: + 7 (342) 274-54-54</w:t>
            </w:r>
          </w:p>
          <w:p>
            <w:pPr>
              <w:pStyle w:val="Normal"/>
              <w:widowControl w:val="false"/>
              <w:rPr>
                <w:sz w:val="24"/>
                <w:szCs w:val="24"/>
              </w:rPr>
            </w:pPr>
            <w:r>
              <w:rPr>
                <w:sz w:val="24"/>
                <w:szCs w:val="24"/>
              </w:rPr>
            </w:r>
          </w:p>
          <w:p>
            <w:pPr>
              <w:pStyle w:val="Normal"/>
              <w:widowControl w:val="false"/>
              <w:rPr>
                <w:sz w:val="24"/>
                <w:szCs w:val="24"/>
              </w:rPr>
            </w:pPr>
            <w:r>
              <w:rPr>
                <w:sz w:val="24"/>
                <w:szCs w:val="24"/>
              </w:rPr>
            </w:r>
          </w:p>
        </w:tc>
        <w:tc>
          <w:tcPr>
            <w:tcW w:w="4962" w:type="dxa"/>
            <w:gridSpan w:val="2"/>
            <w:tcBorders/>
            <w:shd w:color="auto" w:fill="BFBFBF" w:val="clear"/>
          </w:tcPr>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юридического лица)</w:t>
            </w:r>
          </w:p>
          <w:p>
            <w:pPr>
              <w:pStyle w:val="Normal"/>
              <w:widowControl w:val="false"/>
              <w:rPr>
                <w:sz w:val="24"/>
                <w:szCs w:val="24"/>
              </w:rPr>
            </w:pPr>
            <w:r>
              <w:rPr>
                <w:sz w:val="24"/>
                <w:szCs w:val="24"/>
              </w:rPr>
            </w:r>
          </w:p>
          <w:p>
            <w:pPr>
              <w:pStyle w:val="Normal"/>
              <w:widowControl w:val="false"/>
              <w:rPr>
                <w:sz w:val="24"/>
                <w:szCs w:val="24"/>
              </w:rPr>
            </w:pPr>
            <w:r>
              <w:rPr>
                <w:sz w:val="24"/>
                <w:szCs w:val="24"/>
              </w:rPr>
              <w:t>Место нахождения:</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t>Почтовый адрес:</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ОГРН ___________________________</w:t>
            </w:r>
          </w:p>
          <w:p>
            <w:pPr>
              <w:pStyle w:val="Normal"/>
              <w:widowControl w:val="false"/>
              <w:rPr>
                <w:sz w:val="24"/>
                <w:szCs w:val="24"/>
              </w:rPr>
            </w:pPr>
            <w:r>
              <w:rPr>
                <w:sz w:val="24"/>
                <w:szCs w:val="24"/>
              </w:rPr>
              <w:t>ИНН ____________ / КПП___________</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расчетного счета)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(наименование банка, в котором</w:t>
            </w:r>
          </w:p>
          <w:p>
            <w:pPr>
              <w:pStyle w:val="Normal"/>
              <w:widowControl w:val="false"/>
              <w:rPr>
                <w:sz w:val="24"/>
                <w:szCs w:val="24"/>
              </w:rPr>
            </w:pPr>
            <w:r>
              <w:rPr>
                <w:sz w:val="24"/>
                <w:szCs w:val="24"/>
              </w:rPr>
              <w:t>открыт расчетный счет)</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корреспондентского счета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(БИК банка)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телефона)</w:t>
            </w:r>
          </w:p>
          <w:p>
            <w:pPr>
              <w:pStyle w:val="Normal"/>
              <w:widowControl w:val="false"/>
              <w:rPr>
                <w:sz w:val="24"/>
                <w:szCs w:val="24"/>
              </w:rPr>
            </w:pPr>
            <w:r>
              <w:rPr>
                <w:sz w:val="24"/>
                <w:szCs w:val="24"/>
              </w:rPr>
              <w:t>_________________________________</w:t>
            </w:r>
          </w:p>
          <w:p>
            <w:pPr>
              <w:pStyle w:val="Normal"/>
              <w:widowControl w:val="false"/>
              <w:rPr>
                <w:sz w:val="24"/>
                <w:szCs w:val="24"/>
              </w:rPr>
            </w:pPr>
            <w:r>
              <w:rPr>
                <w:sz w:val="24"/>
                <w:szCs w:val="24"/>
              </w:rPr>
              <w:t>(номер факса)</w:t>
            </w:r>
          </w:p>
          <w:p>
            <w:pPr>
              <w:pStyle w:val="Normal"/>
              <w:widowControl w:val="false"/>
              <w:rPr>
                <w:sz w:val="24"/>
                <w:szCs w:val="24"/>
              </w:rPr>
            </w:pPr>
            <w:r>
              <w:rPr>
                <w:sz w:val="24"/>
                <w:szCs w:val="24"/>
              </w:rPr>
            </w:r>
          </w:p>
        </w:tc>
      </w:tr>
      <w:tr>
        <w:trPr/>
        <w:tc>
          <w:tcPr>
            <w:tcW w:w="4768" w:type="dxa"/>
            <w:tcBorders/>
          </w:tcPr>
          <w:p>
            <w:pPr>
              <w:pStyle w:val="Normal"/>
              <w:widowControl w:val="false"/>
              <w:rPr>
                <w:sz w:val="24"/>
                <w:szCs w:val="24"/>
              </w:rPr>
            </w:pPr>
            <w:r>
              <w:rPr>
                <w:sz w:val="24"/>
                <w:szCs w:val="24"/>
              </w:rPr>
              <w:t xml:space="preserve">_______________ / _______________ </w:t>
            </w:r>
          </w:p>
          <w:p>
            <w:pPr>
              <w:pStyle w:val="Normal"/>
              <w:widowControl w:val="false"/>
              <w:rPr>
                <w:sz w:val="24"/>
                <w:szCs w:val="24"/>
              </w:rPr>
            </w:pPr>
            <w:r>
              <w:rPr>
                <w:sz w:val="24"/>
                <w:szCs w:val="24"/>
              </w:rPr>
            </w:r>
          </w:p>
        </w:tc>
        <w:tc>
          <w:tcPr>
            <w:tcW w:w="4786" w:type="dxa"/>
            <w:gridSpan w:val="2"/>
            <w:tcBorders/>
          </w:tcPr>
          <w:p>
            <w:pPr>
              <w:pStyle w:val="Normal"/>
              <w:widowControl w:val="false"/>
              <w:rPr>
                <w:sz w:val="24"/>
                <w:szCs w:val="24"/>
              </w:rPr>
            </w:pPr>
            <w:r>
              <w:rPr>
                <w:sz w:val="24"/>
                <w:szCs w:val="24"/>
              </w:rPr>
              <w:t xml:space="preserve">_______________ / _______________ </w:t>
            </w:r>
          </w:p>
        </w:tc>
        <w:tc>
          <w:tcPr>
            <w:tcW w:w="336" w:type="dxa"/>
            <w:tcBorders/>
          </w:tcPr>
          <w:p>
            <w:pPr>
              <w:pStyle w:val="Normal"/>
              <w:widowControl w:val="false"/>
              <w:rPr/>
            </w:pPr>
            <w:r>
              <w:rPr/>
            </w:r>
          </w:p>
        </w:tc>
      </w:tr>
    </w:tbl>
    <w:p>
      <w:pPr>
        <w:sectPr>
          <w:headerReference w:type="default" r:id="rId7"/>
          <w:headerReference w:type="first" r:id="rId8"/>
          <w:footerReference w:type="default" r:id="rId9"/>
          <w:type w:val="nextPage"/>
          <w:pgSz w:w="11906" w:h="16838"/>
          <w:pgMar w:left="1418" w:right="851" w:gutter="0" w:header="709" w:top="1134" w:footer="709" w:bottom="2268"/>
          <w:pgNumType w:fmt="decimal"/>
          <w:formProt w:val="false"/>
          <w:titlePg/>
          <w:textDirection w:val="lrTb"/>
          <w:docGrid w:type="default" w:linePitch="360" w:charSpace="0"/>
        </w:sectPr>
      </w:pPr>
    </w:p>
    <w:p>
      <w:pPr>
        <w:pStyle w:val="Normal"/>
        <w:suppressAutoHyphens w:val="true"/>
        <w:ind w:left="5103" w:hanging="0"/>
        <w:rPr>
          <w:sz w:val="22"/>
          <w:szCs w:val="22"/>
        </w:rPr>
      </w:pPr>
      <w:r>
        <w:rPr>
          <w:sz w:val="22"/>
          <w:szCs w:val="22"/>
        </w:rPr>
        <w:t>Приложение № 1</w:t>
      </w:r>
    </w:p>
    <w:p>
      <w:pPr>
        <w:pStyle w:val="Normal"/>
        <w:suppressAutoHyphens w:val="true"/>
        <w:ind w:left="5103" w:hanging="0"/>
        <w:rPr>
          <w:sz w:val="22"/>
          <w:szCs w:val="22"/>
        </w:rPr>
      </w:pPr>
      <w:r>
        <w:rPr>
          <w:sz w:val="22"/>
          <w:szCs w:val="22"/>
        </w:rPr>
        <w:t>к Договору поставки</w:t>
      </w:r>
    </w:p>
    <w:p>
      <w:pPr>
        <w:pStyle w:val="Normal"/>
        <w:suppressAutoHyphens w:val="true"/>
        <w:ind w:left="5103" w:hanging="0"/>
        <w:rPr>
          <w:sz w:val="22"/>
          <w:szCs w:val="22"/>
        </w:rPr>
      </w:pPr>
      <w:r>
        <w:rPr>
          <w:sz w:val="22"/>
          <w:szCs w:val="22"/>
        </w:rPr>
        <w:t xml:space="preserve">от «____» ________ 20 _ г. № </w:t>
      </w:r>
    </w:p>
    <w:p>
      <w:pPr>
        <w:pStyle w:val="Normal"/>
        <w:widowControl/>
        <w:suppressAutoHyphens w:val="true"/>
        <w:jc w:val="right"/>
        <w:rPr>
          <w:rFonts w:eastAsia="Calibri"/>
          <w:b/>
          <w:sz w:val="24"/>
          <w:szCs w:val="24"/>
          <w:lang w:eastAsia="en-US"/>
        </w:rPr>
      </w:pPr>
      <w:r>
        <w:rPr>
          <w:rFonts w:eastAsia="Calibri"/>
          <w:b/>
          <w:sz w:val="24"/>
          <w:szCs w:val="24"/>
          <w:lang w:eastAsia="en-US"/>
        </w:rPr>
      </w:r>
    </w:p>
    <w:p>
      <w:pPr>
        <w:pStyle w:val="Normal"/>
        <w:jc w:val="center"/>
        <w:rPr>
          <w:b/>
          <w:sz w:val="24"/>
          <w:szCs w:val="24"/>
        </w:rPr>
      </w:pPr>
      <w:r>
        <w:rPr>
          <w:b/>
          <w:sz w:val="24"/>
          <w:szCs w:val="24"/>
        </w:rPr>
      </w:r>
    </w:p>
    <w:p>
      <w:pPr>
        <w:pStyle w:val="Normal"/>
        <w:jc w:val="center"/>
        <w:rPr>
          <w:b/>
          <w:sz w:val="24"/>
          <w:szCs w:val="24"/>
        </w:rPr>
      </w:pPr>
      <w:r>
        <w:rPr>
          <w:b/>
          <w:sz w:val="24"/>
          <w:szCs w:val="24"/>
        </w:rPr>
        <w:t xml:space="preserve">СПЕЦИФИКАЦИЯ </w:t>
      </w:r>
    </w:p>
    <w:p>
      <w:pPr>
        <w:pStyle w:val="Normal"/>
        <w:jc w:val="center"/>
        <w:rPr>
          <w:b/>
          <w:sz w:val="24"/>
          <w:szCs w:val="24"/>
        </w:rPr>
      </w:pPr>
      <w:r>
        <w:rPr>
          <w:b/>
          <w:sz w:val="24"/>
          <w:szCs w:val="24"/>
        </w:rPr>
      </w:r>
    </w:p>
    <w:tbl>
      <w:tblPr>
        <w:tblW w:w="5000" w:type="pct"/>
        <w:jc w:val="left"/>
        <w:tblInd w:w="-714" w:type="dxa"/>
        <w:tblLayout w:type="fixed"/>
        <w:tblCellMar>
          <w:top w:w="0" w:type="dxa"/>
          <w:left w:w="108" w:type="dxa"/>
          <w:bottom w:w="0" w:type="dxa"/>
          <w:right w:w="108" w:type="dxa"/>
        </w:tblCellMar>
        <w:tblLook w:val="04a0" w:noHBand="0" w:noVBand="1" w:firstColumn="1" w:lastRow="0" w:lastColumn="0" w:firstRow="1"/>
      </w:tblPr>
      <w:tblGrid>
        <w:gridCol w:w="451"/>
        <w:gridCol w:w="394"/>
        <w:gridCol w:w="602"/>
        <w:gridCol w:w="611"/>
        <w:gridCol w:w="612"/>
        <w:gridCol w:w="778"/>
        <w:gridCol w:w="723"/>
        <w:gridCol w:w="631"/>
        <w:gridCol w:w="731"/>
        <w:gridCol w:w="690"/>
        <w:gridCol w:w="521"/>
        <w:gridCol w:w="644"/>
        <w:gridCol w:w="555"/>
        <w:gridCol w:w="516"/>
        <w:gridCol w:w="716"/>
        <w:gridCol w:w="459"/>
      </w:tblGrid>
      <w:tr>
        <w:trPr>
          <w:trHeight w:val="526" w:hRule="atLeast"/>
        </w:trPr>
        <w:tc>
          <w:tcPr>
            <w:tcW w:w="4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 xml:space="preserve">№ </w:t>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 xml:space="preserve">№ </w:t>
            </w:r>
            <w:r>
              <w:rPr>
                <w:bCs/>
              </w:rPr>
              <w:t>поз.</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Наименование Товара</w:t>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t>Артикул, тип, марка</w:t>
            </w:r>
          </w:p>
        </w:tc>
        <w:tc>
          <w:tcPr>
            <w:tcW w:w="6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Завод изготовитель</w:t>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t>Страна происхождения Товара</w:t>
            </w:r>
            <w:r>
              <w:rPr>
                <w:rStyle w:val="FootnoteReference"/>
                <w:bCs/>
              </w:rPr>
              <w:footnoteReference w:id="2"/>
            </w:r>
          </w:p>
        </w:tc>
        <w:tc>
          <w:tcPr>
            <w:tcW w:w="72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t>Страна регистрации производителя Товара</w:t>
            </w:r>
          </w:p>
        </w:tc>
        <w:tc>
          <w:tcPr>
            <w:tcW w:w="6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Код ОКПД 2 (с наименованием)</w:t>
            </w:r>
          </w:p>
        </w:tc>
        <w:tc>
          <w:tcPr>
            <w:tcW w:w="7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Единица измерения</w:t>
            </w:r>
          </w:p>
        </w:tc>
        <w:tc>
          <w:tcPr>
            <w:tcW w:w="69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Cs/>
              </w:rPr>
            </w:pPr>
            <w:r>
              <w:rPr>
                <w:bCs/>
              </w:rPr>
            </w:r>
          </w:p>
          <w:p>
            <w:pPr>
              <w:pStyle w:val="Normal"/>
              <w:widowControl w:val="false"/>
              <w:jc w:val="center"/>
              <w:rPr>
                <w:b/>
                <w:bCs/>
              </w:rPr>
            </w:pPr>
            <w:r>
              <w:rPr>
                <w:b/>
                <w:bCs/>
              </w:rPr>
            </w:r>
          </w:p>
          <w:p>
            <w:pPr>
              <w:pStyle w:val="Normal"/>
              <w:widowControl w:val="false"/>
              <w:jc w:val="center"/>
              <w:rPr>
                <w:bCs/>
              </w:rPr>
            </w:pPr>
            <w:r>
              <w:rPr>
                <w:bCs/>
                <w:highlight w:val="lightGray"/>
              </w:rPr>
              <w:t>Порядковый номер(а) реестровой(ых) записи(ей)</w:t>
            </w:r>
            <w:r>
              <w:rPr>
                <w:rStyle w:val="FootnoteReference"/>
                <w:bCs/>
                <w:highlight w:val="lightGray"/>
              </w:rPr>
              <w:footnoteReference w:id="3"/>
            </w:r>
          </w:p>
          <w:p>
            <w:pPr>
              <w:pStyle w:val="Normal"/>
              <w:widowControl w:val="false"/>
              <w:jc w:val="center"/>
              <w:rPr>
                <w:bCs/>
              </w:rPr>
            </w:pPr>
            <w:r>
              <w:rPr>
                <w:bCs/>
              </w:rPr>
            </w:r>
          </w:p>
        </w:tc>
        <w:tc>
          <w:tcPr>
            <w:tcW w:w="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Количество</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Цена за единицу, руб. без НДС</w:t>
            </w:r>
          </w:p>
        </w:tc>
        <w:tc>
          <w:tcPr>
            <w:tcW w:w="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Цена, руб. без НДС</w:t>
            </w:r>
          </w:p>
        </w:tc>
        <w:tc>
          <w:tcPr>
            <w:tcW w:w="5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НДС</w:t>
            </w:r>
          </w:p>
          <w:p>
            <w:pPr>
              <w:pStyle w:val="Normal"/>
              <w:widowControl w:val="false"/>
              <w:jc w:val="center"/>
              <w:rPr>
                <w:bCs/>
              </w:rPr>
            </w:pPr>
            <w:r>
              <w:rPr>
                <w:bCs/>
              </w:rPr>
              <w:t>(___%) руб.</w:t>
            </w:r>
          </w:p>
        </w:tc>
        <w:tc>
          <w:tcPr>
            <w:tcW w:w="7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Стоимость, руб., с НДС</w:t>
            </w:r>
          </w:p>
        </w:tc>
        <w:tc>
          <w:tcPr>
            <w:tcW w:w="4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rPr>
            </w:pPr>
            <w:r>
              <w:rPr>
                <w:bCs/>
              </w:rPr>
              <w:t>Перечень сопроводительных документов (в том числе подтверждающих качество Товара)</w:t>
            </w:r>
          </w:p>
        </w:tc>
      </w:tr>
      <w:tr>
        <w:trPr>
          <w:trHeight w:val="538" w:hRule="atLeast"/>
        </w:trPr>
        <w:tc>
          <w:tcPr>
            <w:tcW w:w="4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t>1</w:t>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1</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0"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4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2</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0"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62" w:hRule="atLeast"/>
        </w:trPr>
        <w:tc>
          <w:tcPr>
            <w:tcW w:w="8459"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yellow"/>
              </w:rPr>
            </w:pPr>
            <w:r>
              <w:rPr>
                <w:highlight w:val="lightGray"/>
              </w:rPr>
              <w:t>Итого стоимость Товара №1</w:t>
            </w:r>
            <w:r>
              <w:rPr/>
              <w:t>, руб. с НДС</w:t>
            </w:r>
          </w:p>
        </w:tc>
        <w:tc>
          <w:tcPr>
            <w:tcW w:w="117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4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t>2</w:t>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3</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0"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538" w:hRule="atLeast"/>
        </w:trPr>
        <w:tc>
          <w:tcPr>
            <w:tcW w:w="4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Cs/>
                <w:highlight w:val="lightGray"/>
              </w:rPr>
            </w:pPr>
            <w:r>
              <w:rPr>
                <w:bCs/>
                <w:highlight w:val="lightGray"/>
              </w:rPr>
            </w:r>
          </w:p>
        </w:tc>
        <w:tc>
          <w:tcPr>
            <w:tcW w:w="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lightGray"/>
              </w:rPr>
            </w:pPr>
            <w:r>
              <w:rPr>
                <w:highlight w:val="lightGray"/>
              </w:rPr>
              <w:t>4</w:t>
            </w:r>
          </w:p>
        </w:tc>
        <w:tc>
          <w:tcPr>
            <w:tcW w:w="6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1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12"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78"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23"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731"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690" w:type="dxa"/>
            <w:tcBorders>
              <w:top w:val="single" w:sz="4" w:space="0" w:color="000000"/>
              <w:left w:val="single" w:sz="4" w:space="0" w:color="000000"/>
              <w:bottom w:val="single" w:sz="4" w:space="0" w:color="000000"/>
              <w:right w:val="single" w:sz="4" w:space="0" w:color="000000"/>
            </w:tcBorders>
          </w:tcPr>
          <w:p>
            <w:pPr>
              <w:pStyle w:val="Normal"/>
              <w:widowControl w:val="false"/>
              <w:rPr>
                <w:highlight w:val="yellow"/>
              </w:rPr>
            </w:pPr>
            <w:r>
              <w:rPr>
                <w:highlight w:val="yellow"/>
              </w:rPr>
            </w:r>
          </w:p>
        </w:tc>
        <w:tc>
          <w:tcPr>
            <w:tcW w:w="5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5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c>
          <w:tcPr>
            <w:tcW w:w="7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highlight w:val="yellow"/>
              </w:rPr>
            </w:pPr>
            <w:r>
              <w:rPr>
                <w:highlight w:val="yellow"/>
              </w:rPr>
            </w:r>
          </w:p>
        </w:tc>
        <w:tc>
          <w:tcPr>
            <w:tcW w:w="4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62" w:hRule="atLeast"/>
        </w:trPr>
        <w:tc>
          <w:tcPr>
            <w:tcW w:w="8459"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yellow"/>
              </w:rPr>
            </w:pPr>
            <w:r>
              <w:rPr>
                <w:highlight w:val="lightGray"/>
              </w:rPr>
              <w:t>Итого стоимость Товара №2</w:t>
            </w:r>
            <w:r>
              <w:rPr/>
              <w:t>, руб. с НДС</w:t>
            </w:r>
          </w:p>
        </w:tc>
        <w:tc>
          <w:tcPr>
            <w:tcW w:w="117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r>
        <w:trPr>
          <w:trHeight w:val="262" w:hRule="atLeast"/>
        </w:trPr>
        <w:tc>
          <w:tcPr>
            <w:tcW w:w="8459"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jc w:val="center"/>
              <w:rPr>
                <w:highlight w:val="yellow"/>
              </w:rPr>
            </w:pPr>
            <w:r>
              <w:rPr>
                <w:highlight w:val="lightGray"/>
              </w:rPr>
              <w:t>Итого стоимость всего Товара (с учетом доставки), руб. с НДС:</w:t>
            </w:r>
          </w:p>
        </w:tc>
        <w:tc>
          <w:tcPr>
            <w:tcW w:w="117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highlight w:val="yellow"/>
              </w:rPr>
            </w:pPr>
            <w:r>
              <w:rPr>
                <w:highlight w:val="yellow"/>
              </w:rPr>
            </w:r>
          </w:p>
        </w:tc>
      </w:tr>
    </w:tbl>
    <w:p>
      <w:pPr>
        <w:pStyle w:val="Normal"/>
        <w:rPr>
          <w:i/>
          <w:i/>
          <w:sz w:val="24"/>
          <w:szCs w:val="24"/>
          <w:highlight w:val="yellow"/>
        </w:rPr>
      </w:pPr>
      <w:r>
        <w:rPr>
          <w:i/>
          <w:sz w:val="24"/>
          <w:szCs w:val="24"/>
          <w:highlight w:val="yellow"/>
        </w:rPr>
      </w:r>
    </w:p>
    <w:p>
      <w:pPr>
        <w:pStyle w:val="Normal"/>
        <w:rPr>
          <w:i/>
          <w:i/>
          <w:sz w:val="22"/>
          <w:szCs w:val="22"/>
          <w:highlight w:val="lightGray"/>
        </w:rPr>
      </w:pPr>
      <w:r>
        <w:rPr>
          <w:i/>
          <w:sz w:val="22"/>
          <w:szCs w:val="22"/>
          <w:highlight w:val="lightGray"/>
        </w:rPr>
        <w:t>1. 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pPr>
        <w:pStyle w:val="Normal"/>
        <w:rPr>
          <w:i/>
          <w:i/>
          <w:sz w:val="22"/>
          <w:szCs w:val="22"/>
        </w:rPr>
      </w:pPr>
      <w:r>
        <w:rPr>
          <w:i/>
          <w:sz w:val="22"/>
          <w:szCs w:val="22"/>
          <w:highlight w:val="lightGray"/>
        </w:rPr>
        <w:t>2. По требованию Покупателя Поставщик обязан представить запрашиваемую информацию/документы, расчеты, обосновывающие стоимость доставки.</w:t>
      </w:r>
      <w:r>
        <w:rPr>
          <w:i/>
          <w:sz w:val="22"/>
          <w:szCs w:val="22"/>
        </w:rPr>
        <w:t xml:space="preserve"> </w:t>
      </w:r>
    </w:p>
    <w:p>
      <w:pPr>
        <w:pStyle w:val="Normal"/>
        <w:rPr>
          <w:i/>
          <w:i/>
          <w:sz w:val="22"/>
          <w:szCs w:val="22"/>
        </w:rPr>
      </w:pPr>
      <w:r>
        <w:rPr>
          <w:i/>
          <w:sz w:val="22"/>
          <w:szCs w:val="22"/>
        </w:rPr>
      </w:r>
    </w:p>
    <w:p>
      <w:pPr>
        <w:pStyle w:val="Normal"/>
        <w:rPr>
          <w:i/>
          <w:i/>
          <w:sz w:val="22"/>
          <w:szCs w:val="22"/>
        </w:rPr>
      </w:pPr>
      <w:r>
        <w:rPr>
          <w:i/>
          <w:sz w:val="22"/>
          <w:szCs w:val="22"/>
        </w:rPr>
      </w:r>
    </w:p>
    <w:tbl>
      <w:tblPr>
        <w:tblW w:w="963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829"/>
        <w:gridCol w:w="4807"/>
      </w:tblGrid>
      <w:tr>
        <w:trPr>
          <w:trHeight w:val="269" w:hRule="atLeast"/>
        </w:trPr>
        <w:tc>
          <w:tcPr>
            <w:tcW w:w="4829" w:type="dxa"/>
            <w:tcBorders/>
          </w:tcPr>
          <w:p>
            <w:pPr>
              <w:pStyle w:val="Normal"/>
              <w:widowControl w:val="false"/>
              <w:rPr>
                <w:b/>
                <w:sz w:val="24"/>
              </w:rPr>
            </w:pPr>
            <w:r>
              <w:rPr>
                <w:b/>
                <w:sz w:val="24"/>
              </w:rPr>
              <w:t>Покупатель:</w:t>
            </w:r>
          </w:p>
        </w:tc>
        <w:tc>
          <w:tcPr>
            <w:tcW w:w="4807" w:type="dxa"/>
            <w:tcBorders/>
          </w:tcPr>
          <w:p>
            <w:pPr>
              <w:pStyle w:val="Normal"/>
              <w:widowControl w:val="false"/>
              <w:rPr>
                <w:b/>
                <w:sz w:val="24"/>
              </w:rPr>
            </w:pPr>
            <w:r>
              <w:rPr>
                <w:b/>
                <w:sz w:val="24"/>
              </w:rPr>
              <w:t>Поставщик:</w:t>
            </w:r>
          </w:p>
        </w:tc>
      </w:tr>
    </w:tbl>
    <w:p>
      <w:pPr>
        <w:pStyle w:val="Normal"/>
        <w:rPr/>
      </w:pPr>
      <w:r>
        <w:rPr/>
        <w:t xml:space="preserve"> </w:t>
      </w:r>
      <w:r>
        <w:rPr/>
        <w:t>__________ /__________</w:t>
        <w:tab/>
        <w:t xml:space="preserve">                                                       ___________ /___________</w:t>
      </w:r>
    </w:p>
    <w:p>
      <w:pPr>
        <w:pStyle w:val="Normal"/>
        <w:rPr>
          <w:i/>
          <w:i/>
          <w:sz w:val="24"/>
          <w:szCs w:val="24"/>
          <w:highlight w:val="yellow"/>
        </w:rPr>
      </w:pPr>
      <w:r>
        <w:rPr>
          <w:i/>
          <w:sz w:val="24"/>
          <w:szCs w:val="24"/>
          <w:highlight w:val="yellow"/>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widowControl/>
        <w:rPr>
          <w:rFonts w:eastAsia="Calibri"/>
          <w:b/>
          <w:sz w:val="24"/>
          <w:szCs w:val="24"/>
          <w:lang w:eastAsia="en-US"/>
        </w:rPr>
      </w:pPr>
      <w:r>
        <w:rPr>
          <w:rFonts w:eastAsia="Calibri"/>
          <w:b/>
          <w:sz w:val="24"/>
          <w:szCs w:val="24"/>
          <w:lang w:eastAsia="en-US"/>
        </w:rPr>
      </w:r>
    </w:p>
    <w:p>
      <w:pPr>
        <w:pStyle w:val="Normal"/>
        <w:ind w:left="5103" w:hanging="0"/>
        <w:rPr>
          <w:sz w:val="22"/>
          <w:szCs w:val="22"/>
        </w:rPr>
      </w:pPr>
      <w:r>
        <w:rPr>
          <w:sz w:val="22"/>
          <w:szCs w:val="22"/>
        </w:rPr>
        <w:t>Приложение № 2</w:t>
      </w:r>
    </w:p>
    <w:p>
      <w:pPr>
        <w:pStyle w:val="Normal"/>
        <w:ind w:left="5103" w:hanging="0"/>
        <w:rPr>
          <w:sz w:val="22"/>
          <w:szCs w:val="22"/>
        </w:rPr>
      </w:pPr>
      <w:r>
        <w:rPr>
          <w:sz w:val="22"/>
          <w:szCs w:val="22"/>
        </w:rPr>
        <w:t xml:space="preserve">к Договору поставки </w:t>
      </w:r>
    </w:p>
    <w:p>
      <w:pPr>
        <w:pStyle w:val="Normal"/>
        <w:ind w:left="5103" w:hanging="0"/>
        <w:rPr>
          <w:sz w:val="22"/>
          <w:szCs w:val="22"/>
        </w:rPr>
      </w:pPr>
      <w:r>
        <w:rPr>
          <w:sz w:val="22"/>
          <w:szCs w:val="22"/>
        </w:rPr>
        <w:t xml:space="preserve">от «____» ________ 20 _ г. № </w:t>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t>ТЕХНИЧЕСКИЕ ТРЕБОВАНИЯ</w:t>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b/>
          <w:sz w:val="24"/>
          <w:szCs w:val="24"/>
        </w:rPr>
      </w:pPr>
      <w:r>
        <w:rPr>
          <w:b/>
          <w:sz w:val="24"/>
          <w:szCs w:val="24"/>
        </w:rPr>
      </w:r>
    </w:p>
    <w:p>
      <w:pPr>
        <w:pStyle w:val="Normal"/>
        <w:numPr>
          <w:ilvl w:val="0"/>
          <w:numId w:val="0"/>
        </w:numPr>
        <w:ind w:left="0" w:hanging="0"/>
        <w:jc w:val="center"/>
        <w:outlineLvl w:val="0"/>
        <w:rPr>
          <w:b/>
          <w:bCs/>
          <w:sz w:val="24"/>
          <w:szCs w:val="24"/>
        </w:rPr>
      </w:pPr>
      <w:r>
        <w:rPr>
          <w:b/>
          <w:bCs/>
          <w:sz w:val="24"/>
          <w:szCs w:val="24"/>
        </w:rPr>
        <w:t>ПОДПИСИ СТОРОН:</w:t>
      </w:r>
    </w:p>
    <w:p>
      <w:pPr>
        <w:pStyle w:val="Normal"/>
        <w:numPr>
          <w:ilvl w:val="0"/>
          <w:numId w:val="0"/>
        </w:numPr>
        <w:ind w:left="0" w:hanging="0"/>
        <w:jc w:val="center"/>
        <w:outlineLvl w:val="0"/>
        <w:rPr>
          <w:bCs/>
          <w:sz w:val="24"/>
          <w:szCs w:val="24"/>
        </w:rPr>
      </w:pPr>
      <w:r>
        <w:rPr>
          <w:bCs/>
          <w:sz w:val="24"/>
          <w:szCs w:val="24"/>
        </w:rPr>
      </w:r>
    </w:p>
    <w:tbl>
      <w:tblPr>
        <w:tblW w:w="9815" w:type="dxa"/>
        <w:jc w:val="left"/>
        <w:tblInd w:w="-176" w:type="dxa"/>
        <w:tblLayout w:type="fixed"/>
        <w:tblCellMar>
          <w:top w:w="0" w:type="dxa"/>
          <w:left w:w="108" w:type="dxa"/>
          <w:bottom w:w="0" w:type="dxa"/>
          <w:right w:w="108" w:type="dxa"/>
        </w:tblCellMar>
        <w:tblLook w:val="04a0" w:noHBand="0" w:noVBand="1" w:firstColumn="1" w:lastRow="0" w:lastColumn="0" w:firstRow="1"/>
      </w:tblPr>
      <w:tblGrid>
        <w:gridCol w:w="4995"/>
        <w:gridCol w:w="4819"/>
      </w:tblGrid>
      <w:tr>
        <w:trPr/>
        <w:tc>
          <w:tcPr>
            <w:tcW w:w="499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rPr>
                <w:sz w:val="24"/>
                <w:szCs w:val="24"/>
              </w:rPr>
            </w:pPr>
            <w:r>
              <w:rPr>
                <w:sz w:val="24"/>
                <w:szCs w:val="24"/>
              </w:rPr>
            </w:r>
          </w:p>
        </w:tc>
        <w:tc>
          <w:tcPr>
            <w:tcW w:w="4819" w:type="dxa"/>
            <w:tcBorders/>
            <w:shd w:color="auto" w:fill="auto" w:val="clear"/>
          </w:tcPr>
          <w:p>
            <w:pPr>
              <w:pStyle w:val="Normal"/>
              <w:widowControl w:val="false"/>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ind w:firstLine="33"/>
              <w:rPr>
                <w:b/>
                <w:sz w:val="24"/>
                <w:szCs w:val="24"/>
              </w:rPr>
            </w:pPr>
            <w:r>
              <w:rPr>
                <w:b/>
                <w:sz w:val="24"/>
                <w:szCs w:val="24"/>
              </w:rPr>
            </w:r>
          </w:p>
        </w:tc>
      </w:tr>
    </w:tbl>
    <w:p>
      <w:pPr>
        <w:pStyle w:val="Normal"/>
        <w:numPr>
          <w:ilvl w:val="0"/>
          <w:numId w:val="0"/>
        </w:numPr>
        <w:ind w:left="0" w:hanging="0"/>
        <w:jc w:val="center"/>
        <w:outlineLvl w:val="0"/>
        <w:rPr>
          <w:bCs/>
          <w:sz w:val="24"/>
          <w:szCs w:val="24"/>
        </w:rPr>
      </w:pPr>
      <w:r>
        <w:rPr>
          <w:bCs/>
          <w:sz w:val="24"/>
          <w:szCs w:val="24"/>
        </w:rPr>
      </w:r>
      <w:r>
        <w:br w:type="page"/>
      </w:r>
    </w:p>
    <w:p>
      <w:pPr>
        <w:pStyle w:val="Normal"/>
        <w:ind w:firstLine="6237"/>
        <w:jc w:val="right"/>
        <w:rPr>
          <w:sz w:val="24"/>
          <w:szCs w:val="24"/>
        </w:rPr>
      </w:pPr>
      <w:r>
        <w:rPr>
          <w:sz w:val="24"/>
          <w:szCs w:val="24"/>
        </w:rPr>
        <w:t>Приложение № 3</w:t>
      </w:r>
    </w:p>
    <w:p>
      <w:pPr>
        <w:pStyle w:val="Normal"/>
        <w:ind w:firstLine="6237"/>
        <w:rPr>
          <w:sz w:val="24"/>
          <w:szCs w:val="24"/>
        </w:rPr>
      </w:pPr>
      <w:r>
        <w:rPr>
          <w:sz w:val="24"/>
          <w:szCs w:val="24"/>
        </w:rPr>
        <w:t>к Договору поставки</w:t>
      </w:r>
    </w:p>
    <w:p>
      <w:pPr>
        <w:pStyle w:val="Normal"/>
        <w:ind w:firstLine="6237"/>
        <w:rPr>
          <w:bCs/>
          <w:sz w:val="24"/>
          <w:szCs w:val="24"/>
        </w:rPr>
      </w:pPr>
      <w:r>
        <w:rPr>
          <w:sz w:val="24"/>
          <w:szCs w:val="24"/>
        </w:rPr>
        <w:t xml:space="preserve">от «____» ________20 _ г. № </w:t>
      </w:r>
    </w:p>
    <w:p>
      <w:pPr>
        <w:pStyle w:val="Normal"/>
        <w:widowControl/>
        <w:shd w:val="clear" w:color="auto" w:fill="FFFFFF"/>
        <w:tabs>
          <w:tab w:val="clear" w:pos="709"/>
          <w:tab w:val="left" w:pos="1418" w:leader="none"/>
        </w:tabs>
        <w:spacing w:before="0" w:after="0"/>
        <w:ind w:firstLine="6237"/>
        <w:contextualSpacing/>
        <w:jc w:val="center"/>
        <w:rPr>
          <w:bCs/>
          <w:sz w:val="24"/>
          <w:szCs w:val="24"/>
        </w:rPr>
      </w:pPr>
      <w:r>
        <w:rPr>
          <w:bCs/>
          <w:sz w:val="24"/>
          <w:szCs w:val="24"/>
        </w:rPr>
      </w:r>
    </w:p>
    <w:p>
      <w:pPr>
        <w:pStyle w:val="Normal"/>
        <w:widowControl/>
        <w:rPr>
          <w:rFonts w:eastAsia="Calibri"/>
          <w:sz w:val="24"/>
          <w:szCs w:val="24"/>
          <w:lang w:eastAsia="en-US"/>
        </w:rPr>
      </w:pPr>
      <w:r>
        <w:rPr>
          <w:rFonts w:eastAsia="Calibri"/>
          <w:sz w:val="24"/>
          <w:szCs w:val="24"/>
          <w:lang w:eastAsia="en-US"/>
        </w:rPr>
      </w:r>
    </w:p>
    <w:p>
      <w:pPr>
        <w:pStyle w:val="Normal"/>
        <w:jc w:val="center"/>
        <w:rPr>
          <w:b/>
          <w:bCs/>
          <w:sz w:val="24"/>
          <w:szCs w:val="24"/>
        </w:rPr>
      </w:pPr>
      <w:r>
        <w:rPr>
          <w:b/>
          <w:bCs/>
          <w:sz w:val="24"/>
          <w:szCs w:val="24"/>
        </w:rPr>
        <w:t>Размер ответственности Поставщика за нарушения</w:t>
      </w:r>
    </w:p>
    <w:p>
      <w:pPr>
        <w:pStyle w:val="Normal"/>
        <w:jc w:val="center"/>
        <w:rPr>
          <w:b/>
          <w:bCs/>
          <w:sz w:val="24"/>
          <w:szCs w:val="24"/>
        </w:rPr>
      </w:pPr>
      <w:r>
        <w:rPr>
          <w:b/>
          <w:bCs/>
          <w:sz w:val="24"/>
          <w:szCs w:val="24"/>
        </w:rPr>
        <w:t>пропускного и внутриобъектового режима, требований охраны труда,</w:t>
      </w:r>
    </w:p>
    <w:p>
      <w:pPr>
        <w:pStyle w:val="Normal"/>
        <w:jc w:val="center"/>
        <w:rPr>
          <w:b/>
          <w:sz w:val="24"/>
          <w:szCs w:val="24"/>
        </w:rPr>
      </w:pPr>
      <w:r>
        <w:rPr>
          <w:b/>
          <w:bCs/>
          <w:sz w:val="24"/>
          <w:szCs w:val="24"/>
        </w:rPr>
        <w:t>пожарной и промышленной безопасности</w:t>
      </w:r>
    </w:p>
    <w:p>
      <w:pPr>
        <w:pStyle w:val="Normal"/>
        <w:rPr>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670"/>
        <w:gridCol w:w="5966"/>
      </w:tblGrid>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Виды нарушений</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Штрафные санкции</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 Нарушение правил пожарной безопасности (ППБ):</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1.1. Нарушение ППБ без возникновения пожара</w:t>
            </w:r>
          </w:p>
          <w:p>
            <w:pPr>
              <w:pStyle w:val="Normal"/>
              <w:widowControl w:val="false"/>
              <w:rPr>
                <w:b/>
                <w:sz w:val="24"/>
                <w:szCs w:val="24"/>
              </w:rPr>
            </w:pPr>
            <w:r>
              <w:rPr>
                <w:b/>
                <w:sz w:val="24"/>
                <w:szCs w:val="24"/>
              </w:rPr>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25 000 (двадцать пять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50 000 (пятьдесят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250 000 (двести пятьдесят тысяч) рублей за каждый случай нарушения.</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2.</w:t>
            </w:r>
            <w:r>
              <w:rPr>
                <w:b/>
                <w:sz w:val="24"/>
                <w:szCs w:val="24"/>
              </w:rPr>
              <w:t xml:space="preserve"> </w:t>
            </w:r>
            <w:r>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- 50 000 (пятьдесят тысяч) рублей за каждый случай нарушения;</w:t>
            </w:r>
          </w:p>
          <w:p>
            <w:pPr>
              <w:pStyle w:val="Normal"/>
              <w:widowControl w:val="false"/>
              <w:jc w:val="both"/>
              <w:rPr>
                <w:sz w:val="24"/>
                <w:szCs w:val="24"/>
              </w:rPr>
            </w:pPr>
            <w:r>
              <w:rPr>
                <w:sz w:val="24"/>
                <w:szCs w:val="24"/>
              </w:rPr>
              <w:t xml:space="preserve">- 500 (пятьсот) рублей в случае утраты или приведения в негодность электронного пропуска, выданного Покупателем. </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rPr>
          <w:sz w:val="24"/>
          <w:szCs w:val="24"/>
        </w:rPr>
      </w:pPr>
      <w:r>
        <w:rPr>
          <w:sz w:val="24"/>
          <w:szCs w:val="24"/>
        </w:rPr>
      </w:r>
    </w:p>
    <w:p>
      <w:pPr>
        <w:pStyle w:val="Normal"/>
        <w:rPr>
          <w:sz w:val="24"/>
          <w:szCs w:val="24"/>
        </w:rPr>
      </w:pPr>
      <w:r>
        <w:rPr>
          <w:sz w:val="24"/>
          <w:szCs w:val="24"/>
        </w:rPr>
      </w:r>
    </w:p>
    <w:p>
      <w:pPr>
        <w:pStyle w:val="Normal"/>
        <w:numPr>
          <w:ilvl w:val="0"/>
          <w:numId w:val="0"/>
        </w:numPr>
        <w:ind w:left="0" w:hanging="0"/>
        <w:jc w:val="center"/>
        <w:outlineLvl w:val="0"/>
        <w:rPr>
          <w:b/>
          <w:bCs/>
          <w:sz w:val="24"/>
          <w:szCs w:val="24"/>
        </w:rPr>
      </w:pPr>
      <w:r>
        <w:rPr>
          <w:b/>
          <w:bCs/>
          <w:sz w:val="24"/>
          <w:szCs w:val="24"/>
        </w:rPr>
        <w:t>ПОДПИСИ СТОРОН:</w:t>
      </w:r>
    </w:p>
    <w:p>
      <w:pPr>
        <w:pStyle w:val="Normal"/>
        <w:numPr>
          <w:ilvl w:val="0"/>
          <w:numId w:val="0"/>
        </w:numPr>
        <w:ind w:left="0" w:hanging="0"/>
        <w:jc w:val="center"/>
        <w:outlineLvl w:val="0"/>
        <w:rPr>
          <w:bCs/>
          <w:sz w:val="24"/>
          <w:szCs w:val="24"/>
        </w:rPr>
      </w:pPr>
      <w:r>
        <w:rPr>
          <w:bCs/>
          <w:sz w:val="24"/>
          <w:szCs w:val="24"/>
        </w:rPr>
      </w:r>
    </w:p>
    <w:tbl>
      <w:tblPr>
        <w:tblW w:w="9815" w:type="dxa"/>
        <w:jc w:val="left"/>
        <w:tblInd w:w="-176" w:type="dxa"/>
        <w:tblLayout w:type="fixed"/>
        <w:tblCellMar>
          <w:top w:w="0" w:type="dxa"/>
          <w:left w:w="108" w:type="dxa"/>
          <w:bottom w:w="0" w:type="dxa"/>
          <w:right w:w="108" w:type="dxa"/>
        </w:tblCellMar>
        <w:tblLook w:val="04a0" w:noHBand="0" w:noVBand="1" w:firstColumn="1" w:lastRow="0" w:lastColumn="0" w:firstRow="1"/>
      </w:tblPr>
      <w:tblGrid>
        <w:gridCol w:w="4995"/>
        <w:gridCol w:w="4819"/>
      </w:tblGrid>
      <w:tr>
        <w:trPr/>
        <w:tc>
          <w:tcPr>
            <w:tcW w:w="499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rPr>
                <w:sz w:val="24"/>
                <w:szCs w:val="24"/>
              </w:rPr>
            </w:pPr>
            <w:r>
              <w:rPr>
                <w:sz w:val="24"/>
                <w:szCs w:val="24"/>
              </w:rPr>
            </w:r>
          </w:p>
        </w:tc>
        <w:tc>
          <w:tcPr>
            <w:tcW w:w="4819" w:type="dxa"/>
            <w:tcBorders/>
            <w:shd w:color="auto" w:fill="auto" w:val="clear"/>
          </w:tcPr>
          <w:p>
            <w:pPr>
              <w:pStyle w:val="Normal"/>
              <w:widowControl w:val="false"/>
              <w:ind w:firstLine="34"/>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_____________________/_____________</w:t>
            </w:r>
          </w:p>
          <w:p>
            <w:pPr>
              <w:pStyle w:val="Normal"/>
              <w:widowControl w:val="false"/>
              <w:ind w:firstLine="33"/>
              <w:rPr>
                <w:b/>
                <w:sz w:val="24"/>
                <w:szCs w:val="24"/>
              </w:rPr>
            </w:pPr>
            <w:r>
              <w:rPr>
                <w:b/>
                <w:sz w:val="24"/>
                <w:szCs w:val="24"/>
              </w:rPr>
            </w:r>
          </w:p>
        </w:tc>
      </w:tr>
    </w:tbl>
    <w:p>
      <w:pPr>
        <w:pStyle w:val="Normal"/>
        <w:rPr>
          <w:b/>
          <w:bCs/>
          <w:sz w:val="24"/>
          <w:szCs w:val="24"/>
        </w:rPr>
      </w:pPr>
      <w:r>
        <w:rPr>
          <w:b/>
          <w:bCs/>
          <w:sz w:val="24"/>
          <w:szCs w:val="24"/>
        </w:rPr>
      </w:r>
    </w:p>
    <w:p>
      <w:pPr>
        <w:pStyle w:val="Normal"/>
        <w:rPr/>
      </w:pPr>
      <w:r>
        <w:rPr/>
      </w:r>
    </w:p>
    <w:p>
      <w:pPr>
        <w:pStyle w:val="Normal"/>
        <w:rPr/>
      </w:pPr>
      <w:r>
        <w:rPr/>
      </w:r>
    </w:p>
    <w:p>
      <w:pPr>
        <w:pStyle w:val="Normal"/>
        <w:rPr/>
      </w:pPr>
      <w:r>
        <w:rPr/>
      </w:r>
    </w:p>
    <w:p>
      <w:pPr>
        <w:pStyle w:val="Normal"/>
        <w:rPr/>
      </w:pPr>
      <w:r>
        <w:rPr/>
      </w:r>
    </w:p>
    <w:sectPr>
      <w:headerReference w:type="default" r:id="rId10"/>
      <w:headerReference w:type="first" r:id="rId11"/>
      <w:footerReference w:type="default" r:id="rId12"/>
      <w:footerReference w:type="first" r:id="rId13"/>
      <w:footnotePr>
        <w:numFmt w:val="decimal"/>
      </w:footnotePr>
      <w:type w:val="nextPage"/>
      <w:pgSz w:w="11906" w:h="16838"/>
      <w:pgMar w:left="1418" w:right="851" w:gutter="0" w:header="709" w:top="1134" w:footer="709"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Courier New">
    <w:charset w:val="01"/>
    <w:family w:val="roman"/>
    <w:pitch w:val="variable"/>
  </w:font>
  <w:font w:name="Verdana">
    <w:charset w:val="01"/>
    <w:family w:val="roman"/>
    <w:pitch w:val="variable"/>
  </w:font>
  <w:font w:name="Garamond">
    <w:charset w:val="01"/>
    <w:family w:val="roman"/>
    <w:pitch w:val="variable"/>
  </w:font>
  <w:font w:name="Arial Unicode MS">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18</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22</w:t>
    </w:r>
    <w:r>
      <w:rPr>
        <w:sz w:val="22"/>
        <w:szCs w:val="22"/>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widowControl w:val="false"/>
        <w:jc w:val="both"/>
        <w:rPr/>
      </w:pPr>
      <w:r>
        <w:rPr>
          <w:rStyle w:val="Style9"/>
        </w:rPr>
        <w:footnoteRef/>
      </w:r>
      <w:r>
        <w:rPr/>
        <w:t xml:space="preserve"> </w:t>
      </w:r>
      <w:r>
        <w:rPr/>
        <w:t>В соответствии с Общероссийским классификатором стран мира (утв. Постановлением Госстандарта России от 14.12.2001 N 529-ст.).</w:t>
      </w:r>
    </w:p>
  </w:footnote>
  <w:footnote w:id="3">
    <w:p>
      <w:pPr>
        <w:pStyle w:val="FootnoteText"/>
        <w:widowControl w:val="false"/>
        <w:jc w:val="both"/>
        <w:rPr/>
      </w:pPr>
      <w:r>
        <w:rPr>
          <w:rStyle w:val="Style9"/>
        </w:rPr>
        <w:footnoteRef/>
      </w:r>
      <w:r>
        <w:rPr/>
        <w:t xml:space="preserve"> </w:t>
      </w:r>
      <w:r>
        <w:rPr>
          <w:bCs/>
        </w:rPr>
        <w:t>Порядковый номер (номера) реестровой записи (реестровых записей), под которой (которыми) Оборудование включено в реестры, предусмотренные пунктом 3 Постановления Правительства РФ от</w:t>
      </w:r>
      <w:r>
        <w:rPr>
          <w:bCs/>
          <w:lang w:val="en-US"/>
        </w:rPr>
        <w:t xml:space="preserve"> </w:t>
      </w:r>
      <w:bookmarkStart w:id="11" w:name="_GoBack_Копия_1_Копия_1_Копия_1_Копия_1_"/>
      <w:bookmarkEnd w:id="11"/>
      <w:r>
        <w:rPr>
          <w:bCs/>
        </w:rPr>
        <w:t>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либо иным нормативно-правовым актом, устанавливающим защитные меры в соответствии с законодательством о Национальном режиме.</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1875" w:leader="none"/>
        <w:tab w:val="right" w:pos="8306" w:leader="none"/>
      </w:tabs>
      <w:jc w:val="right"/>
      <w:rPr/>
    </w:pPr>
    <w:r>
      <w:rPr/>
      <w:t xml:space="preserve">                                                                                                                                                </w:t>
    </w:r>
    <w:r>
      <w:rPr/>
      <w:t>ТФД № 2.2.2.</w:t>
      <w:tab/>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t>ТФД № 2.2.2.</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283"/>
        </w:tabs>
        <w:ind w:left="1283" w:hanging="432"/>
      </w:pPr>
      <w:rPr>
        <w:sz w:val="24"/>
        <w:b w:val="false"/>
        <w:szCs w:val="24"/>
      </w:rPr>
    </w:lvl>
    <w:lvl w:ilvl="2">
      <w:start w:val="1"/>
      <w:numFmt w:val="decimal"/>
      <w:lvlText w:val="%1.%2.%3."/>
      <w:lvlJc w:val="left"/>
      <w:pPr>
        <w:tabs>
          <w:tab w:val="num" w:pos="1855"/>
        </w:tabs>
        <w:ind w:left="1639" w:hanging="504"/>
      </w:pPr>
      <w:rPr>
        <w:b w:val="false"/>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writeProtection w:cryptProviderType="rsaAES" w:cryptAlgorithmClass="hash" w:cryptAlgorithmType="typeAny" w:cryptAlgorithmSid="14" w:cryptSpinCount="100000" w:hash="7inSRyMys0UxlQbk7vAvV7fmloOKx7FIW9tmS1kkGilEwbAjJReNTokeEN9ZG749b/Gkph3MWqvmCz0+crayrg==" w:salt="NBWscatNCDTL7IkXlhD7KQ=="/>
  <w:zoom w:percent="99"/>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umentProtection w:edit="trackedChanges"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886f70"/>
    <w:pPr>
      <w:widowControl w:val="false"/>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link w:val="1"/>
    <w:qFormat/>
    <w:rsid w:val="00886f70"/>
    <w:pPr>
      <w:keepNext w:val="true"/>
      <w:spacing w:before="240" w:after="60"/>
      <w:outlineLvl w:val="0"/>
    </w:pPr>
    <w:rPr>
      <w:rFonts w:ascii="Arial" w:hAnsi="Arial" w:cs="Arial"/>
      <w:b/>
      <w:bCs/>
      <w:kern w:val="2"/>
      <w:sz w:val="32"/>
      <w:szCs w:val="32"/>
    </w:rPr>
  </w:style>
  <w:style w:type="paragraph" w:styleId="Heading2">
    <w:name w:val="Heading 2"/>
    <w:basedOn w:val="Heading4"/>
    <w:next w:val="Normal"/>
    <w:qFormat/>
    <w:pPr>
      <w:numPr>
        <w:ilvl w:val="0"/>
        <w:numId w:val="0"/>
      </w:numPr>
      <w:ind w:left="432" w:right="0" w:hanging="0"/>
      <w:outlineLvl w:val="1"/>
    </w:pPr>
    <w:rPr/>
  </w:style>
  <w:style w:type="paragraph" w:styleId="Heading3">
    <w:name w:val="Heading 3"/>
    <w:basedOn w:val="Normal"/>
    <w:next w:val="Normal"/>
    <w:link w:val="3"/>
    <w:qFormat/>
    <w:rsid w:val="00886f70"/>
    <w:pPr>
      <w:keepNext w:val="true"/>
      <w:keepLines/>
      <w:spacing w:before="200" w:after="0"/>
      <w:outlineLvl w:val="2"/>
    </w:pPr>
    <w:rPr>
      <w:rFonts w:ascii="Cambria" w:hAnsi="Cambria"/>
      <w:b/>
      <w:bCs/>
      <w:color w:val="4F81BD"/>
      <w:lang w:val="x-none" w:eastAsia="x-none"/>
    </w:rPr>
  </w:style>
  <w:style w:type="paragraph" w:styleId="Heading4">
    <w:name w:val="Heading 4"/>
    <w:basedOn w:val="Heading3"/>
    <w:next w:val="Normal"/>
    <w:qFormat/>
    <w:pPr>
      <w:numPr>
        <w:ilvl w:val="0"/>
        <w:numId w:val="0"/>
      </w:numPr>
      <w:ind w:left="432" w:right="0" w:hanging="0"/>
      <w:outlineLvl w:val="3"/>
    </w:pPr>
    <w:rPr>
      <w:bCs/>
    </w:rPr>
  </w:style>
  <w:style w:type="paragraph" w:styleId="Heading5">
    <w:name w:val="Heading 5"/>
    <w:basedOn w:val="Normal"/>
    <w:next w:val="Normal"/>
    <w:qFormat/>
    <w:pPr>
      <w:numPr>
        <w:ilvl w:val="0"/>
        <w:numId w:val="0"/>
      </w:numPr>
      <w:spacing w:before="240" w:after="60"/>
      <w:outlineLvl w:val="4"/>
    </w:pPr>
    <w:rPr>
      <w:b/>
      <w:bCs/>
      <w:i/>
      <w:iCs/>
      <w:sz w:val="26"/>
      <w:szCs w:val="26"/>
      <w:lang w:val="x-none" w:eastAsia="x-none"/>
    </w:rPr>
  </w:style>
  <w:style w:type="paragraph" w:styleId="Heading6">
    <w:name w:val="Heading 6"/>
    <w:basedOn w:val="Normal"/>
    <w:next w:val="Normal"/>
    <w:qFormat/>
    <w:pPr>
      <w:keepNext w:val="true"/>
      <w:keepLines/>
      <w:numPr>
        <w:ilvl w:val="0"/>
        <w:numId w:val="0"/>
      </w:numPr>
      <w:spacing w:before="200" w:after="0"/>
      <w:outlineLvl w:val="5"/>
    </w:pPr>
    <w:rPr>
      <w:rFonts w:ascii="Cambria" w:hAnsi="Cambria"/>
      <w:i/>
      <w:iCs/>
      <w:color w:val="243F60"/>
      <w:sz w:val="20"/>
      <w:szCs w:val="20"/>
      <w:lang w:val="x-none" w:eastAsia="x-none"/>
    </w:rPr>
  </w:style>
  <w:style w:type="paragraph" w:styleId="Heading7">
    <w:name w:val="Heading 7"/>
    <w:basedOn w:val="Normal"/>
    <w:next w:val="Normal"/>
    <w:qFormat/>
    <w:pPr>
      <w:keepNext w:val="true"/>
      <w:keepLines/>
      <w:numPr>
        <w:ilvl w:val="0"/>
        <w:numId w:val="0"/>
      </w:numPr>
      <w:spacing w:before="200" w:after="0"/>
      <w:outlineLvl w:val="6"/>
    </w:pPr>
    <w:rPr>
      <w:rFonts w:ascii="Cambria" w:hAnsi="Cambria"/>
      <w:i/>
      <w:iCs/>
      <w:color w:val="404040"/>
      <w:sz w:val="20"/>
      <w:szCs w:val="20"/>
      <w:lang w:val="x-none" w:eastAsia="x-none"/>
    </w:rPr>
  </w:style>
  <w:style w:type="paragraph" w:styleId="Heading8">
    <w:name w:val="Heading 8"/>
    <w:basedOn w:val="Normal"/>
    <w:next w:val="Normal"/>
    <w:qFormat/>
    <w:pPr>
      <w:keepNext w:val="true"/>
      <w:keepLines/>
      <w:numPr>
        <w:ilvl w:val="0"/>
        <w:numId w:val="0"/>
      </w:numPr>
      <w:spacing w:before="200" w:after="0"/>
      <w:outlineLvl w:val="7"/>
    </w:pPr>
    <w:rPr>
      <w:rFonts w:ascii="Cambria" w:hAnsi="Cambria"/>
      <w:color w:val="4F81BD"/>
      <w:sz w:val="20"/>
      <w:szCs w:val="20"/>
      <w:lang w:val="x-none" w:eastAsia="x-none"/>
    </w:rPr>
  </w:style>
  <w:style w:type="paragraph" w:styleId="Heading9">
    <w:name w:val="Heading 9"/>
    <w:basedOn w:val="Normal"/>
    <w:next w:val="Normal"/>
    <w:qFormat/>
    <w:pPr>
      <w:numPr>
        <w:ilvl w:val="0"/>
        <w:numId w:val="0"/>
      </w:numPr>
      <w:spacing w:before="240" w:after="60"/>
      <w:outlineLvl w:val="8"/>
    </w:pPr>
    <w:rPr>
      <w:rFonts w:ascii="Arial" w:hAnsi="Arial"/>
      <w:sz w:val="22"/>
      <w:szCs w:val="22"/>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886f70"/>
    <w:rPr>
      <w:rFonts w:ascii="Arial" w:hAnsi="Arial" w:eastAsia="Times New Roman" w:cs="Arial"/>
      <w:b/>
      <w:bCs/>
      <w:kern w:val="2"/>
      <w:sz w:val="32"/>
      <w:szCs w:val="32"/>
      <w:lang w:eastAsia="ru-RU"/>
    </w:rPr>
  </w:style>
  <w:style w:type="character" w:styleId="3" w:customStyle="1">
    <w:name w:val="Заголовок 3 Знак"/>
    <w:basedOn w:val="DefaultParagraphFont"/>
    <w:qFormat/>
    <w:rsid w:val="00886f70"/>
    <w:rPr>
      <w:rFonts w:ascii="Cambria" w:hAnsi="Cambria" w:eastAsia="Times New Roman" w:cs="Times New Roman"/>
      <w:b/>
      <w:bCs/>
      <w:color w:val="4F81BD"/>
      <w:sz w:val="20"/>
      <w:szCs w:val="20"/>
      <w:lang w:val="x-none" w:eastAsia="x-none"/>
    </w:rPr>
  </w:style>
  <w:style w:type="character" w:styleId="Style" w:customStyle="1">
    <w:name w:val="Заголовок Знак"/>
    <w:basedOn w:val="DefaultParagraphFont"/>
    <w:qFormat/>
    <w:rsid w:val="00886f70"/>
    <w:rPr>
      <w:rFonts w:ascii="Times New Roman" w:hAnsi="Times New Roman" w:eastAsia="Times New Roman" w:cs="Times New Roman"/>
      <w:b/>
      <w:bCs/>
      <w:sz w:val="24"/>
      <w:szCs w:val="24"/>
      <w:lang w:eastAsia="ru-RU"/>
    </w:rPr>
  </w:style>
  <w:style w:type="character" w:styleId="2" w:customStyle="1">
    <w:name w:val="Основной текст с отступом 2 Знак"/>
    <w:basedOn w:val="DefaultParagraphFont"/>
    <w:link w:val="BodyTextIndent2"/>
    <w:qFormat/>
    <w:rsid w:val="00886f70"/>
    <w:rPr>
      <w:rFonts w:ascii="Times New Roman" w:hAnsi="Times New Roman" w:eastAsia="Times New Roman" w:cs="Times New Roman"/>
      <w:sz w:val="24"/>
      <w:szCs w:val="20"/>
      <w:lang w:eastAsia="ru-RU"/>
    </w:rPr>
  </w:style>
  <w:style w:type="character" w:styleId="Style1" w:customStyle="1">
    <w:name w:val="Текст выноски Знак"/>
    <w:basedOn w:val="DefaultParagraphFont"/>
    <w:link w:val="BalloonText"/>
    <w:semiHidden/>
    <w:qFormat/>
    <w:rsid w:val="00886f70"/>
    <w:rPr>
      <w:rFonts w:ascii="Tahoma" w:hAnsi="Tahoma" w:eastAsia="Times New Roman" w:cs="Tahoma"/>
      <w:sz w:val="16"/>
      <w:szCs w:val="16"/>
      <w:lang w:eastAsia="ru-RU"/>
    </w:rPr>
  </w:style>
  <w:style w:type="character" w:styleId="21" w:customStyle="1">
    <w:name w:val="Основной текст 2 Знак"/>
    <w:basedOn w:val="DefaultParagraphFont"/>
    <w:link w:val="BodyText2"/>
    <w:qFormat/>
    <w:rsid w:val="00886f70"/>
    <w:rPr>
      <w:rFonts w:ascii="Times New Roman" w:hAnsi="Times New Roman" w:eastAsia="Times New Roman" w:cs="Times New Roman"/>
      <w:sz w:val="24"/>
      <w:szCs w:val="24"/>
      <w:lang w:eastAsia="ru-RU"/>
    </w:rPr>
  </w:style>
  <w:style w:type="character" w:styleId="Style2" w:customStyle="1">
    <w:name w:val="Основной текст Знак"/>
    <w:basedOn w:val="DefaultParagraphFont"/>
    <w:qFormat/>
    <w:rsid w:val="00886f70"/>
    <w:rPr>
      <w:rFonts w:ascii="Times New Roman" w:hAnsi="Times New Roman" w:eastAsia="Times New Roman" w:cs="Times New Roman"/>
      <w:sz w:val="20"/>
      <w:szCs w:val="20"/>
      <w:lang w:eastAsia="ru-RU"/>
    </w:rPr>
  </w:style>
  <w:style w:type="character" w:styleId="Style3" w:customStyle="1">
    <w:name w:val="Нижний колонтитул Знак"/>
    <w:basedOn w:val="DefaultParagraphFont"/>
    <w:uiPriority w:val="99"/>
    <w:qFormat/>
    <w:rsid w:val="00886f70"/>
    <w:rPr>
      <w:rFonts w:ascii="Times New Roman" w:hAnsi="Times New Roman" w:eastAsia="Times New Roman" w:cs="Times New Roman"/>
      <w:sz w:val="20"/>
      <w:szCs w:val="20"/>
      <w:lang w:eastAsia="ru-RU"/>
    </w:rPr>
  </w:style>
  <w:style w:type="character" w:styleId="Pagenumber">
    <w:name w:val="page number"/>
    <w:basedOn w:val="DefaultParagraphFont"/>
    <w:qFormat/>
    <w:rsid w:val="00886f70"/>
    <w:rPr/>
  </w:style>
  <w:style w:type="character" w:styleId="31" w:customStyle="1">
    <w:name w:val="Основной текст 3 Знак"/>
    <w:basedOn w:val="DefaultParagraphFont"/>
    <w:link w:val="BodyText3"/>
    <w:qFormat/>
    <w:rsid w:val="00886f70"/>
    <w:rPr>
      <w:rFonts w:ascii="Times New Roman" w:hAnsi="Times New Roman" w:eastAsia="Times New Roman" w:cs="Times New Roman"/>
      <w:sz w:val="16"/>
      <w:szCs w:val="16"/>
      <w:lang w:val="x-none" w:eastAsia="x-none"/>
    </w:rPr>
  </w:style>
  <w:style w:type="character" w:styleId="Annotationreference">
    <w:name w:val="annotation reference"/>
    <w:qFormat/>
    <w:rsid w:val="00886f70"/>
    <w:rPr>
      <w:sz w:val="16"/>
      <w:szCs w:val="16"/>
    </w:rPr>
  </w:style>
  <w:style w:type="character" w:styleId="Style4" w:customStyle="1">
    <w:name w:val="Текст примечания Знак"/>
    <w:basedOn w:val="DefaultParagraphFont"/>
    <w:link w:val="Annotationtext"/>
    <w:qFormat/>
    <w:rsid w:val="00886f70"/>
    <w:rPr>
      <w:rFonts w:ascii="Times New Roman" w:hAnsi="Times New Roman" w:eastAsia="Times New Roman" w:cs="Times New Roman"/>
      <w:sz w:val="20"/>
      <w:szCs w:val="20"/>
      <w:lang w:eastAsia="ru-RU"/>
    </w:rPr>
  </w:style>
  <w:style w:type="character" w:styleId="Style5" w:customStyle="1">
    <w:name w:val="Тема примечания Знак"/>
    <w:basedOn w:val="Style4"/>
    <w:link w:val="Annotationsubject"/>
    <w:qFormat/>
    <w:rsid w:val="00886f70"/>
    <w:rPr>
      <w:rFonts w:ascii="Times New Roman" w:hAnsi="Times New Roman" w:eastAsia="Times New Roman" w:cs="Times New Roman"/>
      <w:b/>
      <w:bCs/>
      <w:sz w:val="20"/>
      <w:szCs w:val="20"/>
      <w:lang w:val="x-none" w:eastAsia="x-none"/>
    </w:rPr>
  </w:style>
  <w:style w:type="character" w:styleId="Style6" w:customStyle="1">
    <w:name w:val="Основной текст с отступом Знак"/>
    <w:basedOn w:val="DefaultParagraphFont"/>
    <w:qFormat/>
    <w:rsid w:val="00886f70"/>
    <w:rPr>
      <w:rFonts w:ascii="Times New Roman" w:hAnsi="Times New Roman" w:eastAsia="Times New Roman" w:cs="Times New Roman"/>
      <w:sz w:val="20"/>
      <w:szCs w:val="20"/>
      <w:lang w:eastAsia="ru-RU"/>
    </w:rPr>
  </w:style>
  <w:style w:type="character" w:styleId="Style7" w:customStyle="1">
    <w:name w:val="комментарий"/>
    <w:uiPriority w:val="99"/>
    <w:qFormat/>
    <w:rsid w:val="00886f70"/>
    <w:rPr>
      <w:rFonts w:cs="Times New Roman"/>
      <w:b/>
      <w:bCs/>
      <w:i/>
      <w:iCs/>
      <w:shd w:fill="FFFF99" w:val="clear"/>
    </w:rPr>
  </w:style>
  <w:style w:type="character" w:styleId="Style8" w:customStyle="1">
    <w:name w:val="Текст сноски Знак"/>
    <w:basedOn w:val="DefaultParagraphFont"/>
    <w:uiPriority w:val="99"/>
    <w:qFormat/>
    <w:rsid w:val="00886f70"/>
    <w:rPr>
      <w:rFonts w:ascii="Times New Roman" w:hAnsi="Times New Roman" w:eastAsia="Times New Roman" w:cs="Times New Roman"/>
      <w:sz w:val="20"/>
      <w:szCs w:val="20"/>
      <w:lang w:eastAsia="ru-RU"/>
    </w:rPr>
  </w:style>
  <w:style w:type="character" w:styleId="Style9" w:customStyle="1">
    <w:name w:val="Символ сноски"/>
    <w:qFormat/>
    <w:rsid w:val="00886f70"/>
    <w:rPr>
      <w:vertAlign w:val="superscript"/>
    </w:rPr>
  </w:style>
  <w:style w:type="character" w:styleId="FootnoteReference">
    <w:name w:val="Footnote Reference"/>
    <w:rPr>
      <w:vertAlign w:val="superscript"/>
    </w:rPr>
  </w:style>
  <w:style w:type="character" w:styleId="Style10" w:customStyle="1">
    <w:name w:val="Схема документа Знак"/>
    <w:basedOn w:val="DefaultParagraphFont"/>
    <w:link w:val="DocumentMap"/>
    <w:semiHidden/>
    <w:qFormat/>
    <w:rsid w:val="00886f70"/>
    <w:rPr>
      <w:rFonts w:ascii="Tahoma" w:hAnsi="Tahoma" w:eastAsia="Times New Roman" w:cs="Tahoma"/>
      <w:sz w:val="20"/>
      <w:szCs w:val="20"/>
      <w:shd w:fill="000080" w:val="clear"/>
      <w:lang w:eastAsia="ru-RU"/>
    </w:rPr>
  </w:style>
  <w:style w:type="character" w:styleId="Style11" w:customStyle="1">
    <w:name w:val="Верхний колонтитул Знак"/>
    <w:basedOn w:val="DefaultParagraphFont"/>
    <w:qFormat/>
    <w:rsid w:val="00886f70"/>
    <w:rPr>
      <w:rFonts w:ascii="Times New Roman" w:hAnsi="Times New Roman" w:eastAsia="Times New Roman" w:cs="Times New Roman"/>
      <w:sz w:val="20"/>
      <w:szCs w:val="20"/>
      <w:lang w:eastAsia="ru-RU"/>
    </w:rPr>
  </w:style>
  <w:style w:type="character" w:styleId="Hyperlink">
    <w:name w:val="Hyperlink"/>
    <w:rsid w:val="00886f70"/>
    <w:rPr>
      <w:color w:val="0000FF"/>
      <w:u w:val="single"/>
    </w:rPr>
  </w:style>
  <w:style w:type="character" w:styleId="Style12" w:customStyle="1">
    <w:name w:val="Абзац списка Знак"/>
    <w:link w:val="ListParagraph"/>
    <w:uiPriority w:val="34"/>
    <w:qFormat/>
    <w:locked/>
    <w:rsid w:val="00b80bab"/>
    <w:rPr>
      <w:rFonts w:ascii="Times New Roman" w:hAnsi="Times New Roman" w:eastAsia="Times New Roman" w:cs="Times New Roman"/>
      <w:sz w:val="20"/>
      <w:szCs w:val="20"/>
      <w:lang w:eastAsia="ru-RU"/>
    </w:rPr>
  </w:style>
  <w:style w:type="character" w:styleId="Linenumber1" w:customStyle="1">
    <w:name w:val="line number1"/>
    <w:qFormat/>
    <w:rPr/>
  </w:style>
  <w:style w:type="character" w:styleId="Style13" w:customStyle="1">
    <w:name w:val="Символ концевой сноски"/>
    <w:qFormat/>
    <w:rPr>
      <w:vertAlign w:val="superscript"/>
    </w:rPr>
  </w:style>
  <w:style w:type="character" w:styleId="EndnoteReference">
    <w:name w:val="Endnote Reference"/>
    <w:rPr>
      <w:vertAlign w:val="superscript"/>
    </w:rPr>
  </w:style>
  <w:style w:type="character" w:styleId="Linenumber">
    <w:name w:val="line number"/>
    <w:qFormat/>
    <w:rPr/>
  </w:style>
  <w:style w:type="character" w:styleId="Style14">
    <w:name w:val="Ссылка указателя"/>
    <w:qFormat/>
    <w:rPr/>
  </w:style>
  <w:style w:type="character" w:styleId="Tooltip">
    <w:name w:val="tooltip"/>
    <w:basedOn w:val="DefaultParagraphFont"/>
    <w:qFormat/>
    <w:rPr/>
  </w:style>
  <w:style w:type="character" w:styleId="Apple-converted-space">
    <w:name w:val="apple-converted-space"/>
    <w:basedOn w:val="DefaultParagraphFont"/>
    <w:qFormat/>
    <w:rPr/>
  </w:style>
  <w:style w:type="character" w:styleId="Style15">
    <w:name w:val="основной для подзаголовков Знак"/>
    <w:qFormat/>
    <w:rPr>
      <w:b/>
      <w:sz w:val="28"/>
      <w:szCs w:val="28"/>
    </w:rPr>
  </w:style>
  <w:style w:type="character" w:styleId="32">
    <w:name w:val="Основной текст с отступом 3 Знак"/>
    <w:qFormat/>
    <w:rPr>
      <w:sz w:val="16"/>
      <w:szCs w:val="16"/>
    </w:rPr>
  </w:style>
  <w:style w:type="character" w:styleId="11">
    <w:name w:val="Неразрешенное упоминание1"/>
    <w:basedOn w:val="DefaultParagraphFont"/>
    <w:qFormat/>
    <w:rPr>
      <w:color w:val="605E5C"/>
      <w:shd w:fill="E1DFDD" w:val="clear"/>
    </w:rPr>
  </w:style>
  <w:style w:type="character" w:styleId="12">
    <w:name w:val="УРОВЕНЬ_1. Знак"/>
    <w:qFormat/>
    <w:rPr>
      <w:rFonts w:eastAsia="Calibri"/>
      <w:caps/>
      <w:sz w:val="28"/>
      <w:szCs w:val="28"/>
      <w:lang w:eastAsia="en-US"/>
    </w:rPr>
  </w:style>
  <w:style w:type="character" w:styleId="22">
    <w:name w:val="Пункт2 Знак"/>
    <w:qFormat/>
    <w:rPr>
      <w:b/>
      <w:sz w:val="28"/>
    </w:rPr>
  </w:style>
  <w:style w:type="character" w:styleId="Style16">
    <w:name w:val="Текст концевой сноски Знак"/>
    <w:basedOn w:val="DefaultParagraphFont"/>
    <w:qFormat/>
    <w:rPr/>
  </w:style>
  <w:style w:type="character" w:styleId="33">
    <w:name w:val="УРОВЕНЬ_Абзац_тип3 Знак"/>
    <w:qFormat/>
    <w:rPr>
      <w:rFonts w:eastAsia="Calibri"/>
      <w:sz w:val="26"/>
      <w:szCs w:val="28"/>
      <w:lang w:eastAsia="en-US"/>
    </w:rPr>
  </w:style>
  <w:style w:type="character" w:styleId="Style17">
    <w:name w:val="Подподпункт Знак"/>
    <w:qFormat/>
    <w:rPr>
      <w:sz w:val="26"/>
      <w:szCs w:val="26"/>
    </w:rPr>
  </w:style>
  <w:style w:type="character" w:styleId="Blk">
    <w:name w:val="blk"/>
    <w:qFormat/>
    <w:rPr/>
  </w:style>
  <w:style w:type="character" w:styleId="13">
    <w:name w:val="Подпункт Знак1"/>
    <w:qFormat/>
    <w:rPr>
      <w:sz w:val="28"/>
    </w:rPr>
  </w:style>
  <w:style w:type="character" w:styleId="Style18">
    <w:name w:val="Электронная подпись Знак"/>
    <w:qFormat/>
    <w:rPr>
      <w:rFonts w:eastAsia="Calibri"/>
      <w:sz w:val="24"/>
      <w:szCs w:val="24"/>
    </w:rPr>
  </w:style>
  <w:style w:type="character" w:styleId="BookTitle">
    <w:name w:val="Book Title"/>
    <w:qFormat/>
    <w:rPr>
      <w:b/>
      <w:bCs/>
      <w:smallCaps/>
      <w:spacing w:val="5"/>
    </w:rPr>
  </w:style>
  <w:style w:type="character" w:styleId="IntenseReference">
    <w:name w:val="Intense Reference"/>
    <w:qFormat/>
    <w:rPr>
      <w:b/>
      <w:bCs/>
      <w:smallCaps/>
      <w:color w:val="C0504D"/>
      <w:spacing w:val="5"/>
      <w:u w:val="single"/>
    </w:rPr>
  </w:style>
  <w:style w:type="character" w:styleId="SubtleReference">
    <w:name w:val="Subtle Reference"/>
    <w:qFormat/>
    <w:rPr>
      <w:smallCaps/>
      <w:color w:val="C0504D"/>
      <w:u w:val="single"/>
    </w:rPr>
  </w:style>
  <w:style w:type="character" w:styleId="IntenseEmphasis">
    <w:name w:val="Intense Emphasis"/>
    <w:qFormat/>
    <w:rPr>
      <w:b/>
      <w:bCs/>
      <w:i/>
      <w:iCs/>
      <w:color w:val="4F81BD"/>
    </w:rPr>
  </w:style>
  <w:style w:type="character" w:styleId="SubtleEmphasis">
    <w:name w:val="Subtle Emphasis"/>
    <w:qFormat/>
    <w:rPr>
      <w:i/>
      <w:iCs/>
      <w:color w:val="808080"/>
    </w:rPr>
  </w:style>
  <w:style w:type="character" w:styleId="Style19">
    <w:name w:val="Выделенная цитата Знак"/>
    <w:qFormat/>
    <w:rPr>
      <w:rFonts w:ascii="Calibri" w:hAnsi="Calibri" w:eastAsia="Calibri"/>
      <w:b/>
      <w:bCs/>
      <w:i/>
      <w:iCs/>
      <w:color w:val="4F81BD"/>
      <w:lang w:val="x-none" w:eastAsia="x-none"/>
    </w:rPr>
  </w:style>
  <w:style w:type="character" w:styleId="23">
    <w:name w:val="Цитата 2 Знак"/>
    <w:qFormat/>
    <w:rPr>
      <w:rFonts w:ascii="Calibri" w:hAnsi="Calibri" w:eastAsia="Calibri"/>
      <w:i/>
      <w:iCs/>
      <w:color w:val="000000"/>
      <w:lang w:val="x-none" w:eastAsia="x-none"/>
    </w:rPr>
  </w:style>
  <w:style w:type="character" w:styleId="Emphasis">
    <w:name w:val="Emphasis"/>
    <w:qFormat/>
    <w:rPr>
      <w:i/>
      <w:iCs/>
    </w:rPr>
  </w:style>
  <w:style w:type="character" w:styleId="Style20">
    <w:name w:val="Подзаголовок Знак"/>
    <w:qFormat/>
    <w:rPr>
      <w:rFonts w:ascii="Cambria" w:hAnsi="Cambria"/>
      <w:i/>
      <w:iCs/>
      <w:color w:val="4F81BD"/>
      <w:spacing w:val="15"/>
      <w:sz w:val="24"/>
      <w:szCs w:val="24"/>
      <w:lang w:val="x-none" w:eastAsia="x-none"/>
    </w:rPr>
  </w:style>
  <w:style w:type="character" w:styleId="Style21">
    <w:name w:val="Название Знак"/>
    <w:qFormat/>
    <w:rPr>
      <w:sz w:val="28"/>
    </w:rPr>
  </w:style>
  <w:style w:type="character" w:styleId="9">
    <w:name w:val="Заголовок 9 Знак"/>
    <w:qFormat/>
    <w:rPr>
      <w:rFonts w:ascii="Arial" w:hAnsi="Arial" w:cs="Arial"/>
      <w:sz w:val="22"/>
      <w:szCs w:val="22"/>
    </w:rPr>
  </w:style>
  <w:style w:type="character" w:styleId="5">
    <w:name w:val="Заголовок 5 Знак"/>
    <w:qFormat/>
    <w:rPr>
      <w:b/>
      <w:bCs/>
      <w:i/>
      <w:iCs/>
      <w:sz w:val="26"/>
      <w:szCs w:val="26"/>
    </w:rPr>
  </w:style>
  <w:style w:type="character" w:styleId="4">
    <w:name w:val="Заголовок 4 Знак"/>
    <w:qFormat/>
    <w:rPr>
      <w:rFonts w:eastAsia="Calibri"/>
      <w:b/>
      <w:bCs/>
      <w:sz w:val="24"/>
      <w:szCs w:val="24"/>
      <w:lang w:val="x-none" w:eastAsia="x-none"/>
    </w:rPr>
  </w:style>
  <w:style w:type="character" w:styleId="24">
    <w:name w:val="Заголовок 2 Знак"/>
    <w:qFormat/>
    <w:rPr>
      <w:rFonts w:eastAsia="Calibri"/>
      <w:b/>
      <w:bCs/>
      <w:sz w:val="24"/>
      <w:szCs w:val="24"/>
      <w:lang w:val="x-none" w:eastAsia="x-none"/>
    </w:rPr>
  </w:style>
  <w:style w:type="character" w:styleId="8">
    <w:name w:val="Заголовок 8 Знак"/>
    <w:qFormat/>
    <w:rPr>
      <w:rFonts w:ascii="Cambria" w:hAnsi="Cambria"/>
      <w:color w:val="4F81BD"/>
      <w:lang w:val="x-none" w:eastAsia="x-none"/>
    </w:rPr>
  </w:style>
  <w:style w:type="character" w:styleId="7">
    <w:name w:val="Заголовок 7 Знак"/>
    <w:qFormat/>
    <w:rPr>
      <w:rFonts w:ascii="Cambria" w:hAnsi="Cambria"/>
      <w:i/>
      <w:iCs/>
      <w:color w:val="404040"/>
      <w:lang w:val="x-none" w:eastAsia="x-none"/>
    </w:rPr>
  </w:style>
  <w:style w:type="character" w:styleId="6">
    <w:name w:val="Заголовок 6 Знак"/>
    <w:qFormat/>
    <w:rPr>
      <w:rFonts w:ascii="Cambria" w:hAnsi="Cambria"/>
      <w:i/>
      <w:iCs/>
      <w:color w:val="243F60"/>
      <w:lang w:val="x-none" w:eastAsia="x-none"/>
    </w:rPr>
  </w:style>
  <w:style w:type="character" w:styleId="Strong">
    <w:name w:val="Strong"/>
    <w:qFormat/>
    <w:rPr>
      <w:b/>
      <w:bCs/>
    </w:rPr>
  </w:style>
  <w:style w:type="character" w:styleId="FollowedHyperlink">
    <w:name w:val="FollowedHyperlink"/>
    <w:rPr>
      <w:color w:val="800000"/>
      <w:u w:val="single"/>
    </w:rPr>
  </w:style>
  <w:style w:type="paragraph" w:styleId="Style22">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2"/>
    <w:rsid w:val="00886f70"/>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23">
    <w:name w:val="Указатель"/>
    <w:basedOn w:val="Normal"/>
    <w:qFormat/>
    <w:pPr>
      <w:suppressLineNumbers/>
    </w:pPr>
    <w:rPr>
      <w:rFonts w:cs="Arial Unicode MS"/>
    </w:rPr>
  </w:style>
  <w:style w:type="paragraph" w:styleId="Title">
    <w:name w:val="Title"/>
    <w:basedOn w:val="Normal"/>
    <w:next w:val="BodyText"/>
    <w:link w:val="Style"/>
    <w:qFormat/>
    <w:rsid w:val="00886f70"/>
    <w:pPr>
      <w:jc w:val="center"/>
    </w:pPr>
    <w:rPr>
      <w:b/>
      <w:bCs/>
      <w:sz w:val="24"/>
      <w:szCs w:val="24"/>
    </w:rPr>
  </w:style>
  <w:style w:type="paragraph" w:styleId="Caption1">
    <w:name w:val="caption1"/>
    <w:basedOn w:val="Normal"/>
    <w:qFormat/>
    <w:pPr>
      <w:suppressLineNumbers/>
      <w:spacing w:before="120" w:after="120"/>
    </w:pPr>
    <w:rPr>
      <w:i/>
      <w:iCs/>
      <w:sz w:val="24"/>
      <w:szCs w:val="24"/>
    </w:rPr>
  </w:style>
  <w:style w:type="paragraph" w:styleId="Indexheading1">
    <w:name w:val="index heading1"/>
    <w:basedOn w:val="Normal"/>
    <w:qFormat/>
    <w:pPr>
      <w:suppressLineNumbers/>
    </w:pPr>
    <w:rPr/>
  </w:style>
  <w:style w:type="paragraph" w:styleId="14" w:customStyle="1">
    <w:name w:val="Заголовок1"/>
    <w:basedOn w:val="Normal"/>
    <w:next w:val="BodyText"/>
    <w:qFormat/>
    <w:pPr>
      <w:keepNext w:val="true"/>
      <w:spacing w:before="240" w:after="120"/>
    </w:pPr>
    <w:rPr>
      <w:rFonts w:ascii="Liberation Sans" w:hAnsi="Liberation Sans" w:eastAsia="Arial Unicode MS" w:cs="Arial Unicode MS"/>
      <w:sz w:val="28"/>
      <w:szCs w:val="28"/>
    </w:rPr>
  </w:style>
  <w:style w:type="paragraph" w:styleId="Caption11" w:customStyle="1">
    <w:name w:val="caption11"/>
    <w:basedOn w:val="Normal"/>
    <w:qFormat/>
    <w:pPr>
      <w:suppressLineNumbers/>
      <w:spacing w:before="120" w:after="120"/>
    </w:pPr>
    <w:rPr>
      <w:i/>
      <w:iCs/>
      <w:sz w:val="24"/>
      <w:szCs w:val="24"/>
    </w:rPr>
  </w:style>
  <w:style w:type="paragraph" w:styleId="Style24" w:customStyle="1">
    <w:name w:val="Таблицы (моноширинный)"/>
    <w:basedOn w:val="Normal"/>
    <w:next w:val="Normal"/>
    <w:qFormat/>
    <w:rsid w:val="00886f70"/>
    <w:pPr>
      <w:jc w:val="both"/>
    </w:pPr>
    <w:rPr>
      <w:rFonts w:ascii="Courier New" w:hAnsi="Courier New" w:cs="Courier New"/>
    </w:rPr>
  </w:style>
  <w:style w:type="paragraph" w:styleId="BodyTextIndent2">
    <w:name w:val="Body Text Indent 2"/>
    <w:basedOn w:val="Normal"/>
    <w:link w:val="2"/>
    <w:qFormat/>
    <w:rsid w:val="00886f70"/>
    <w:pPr>
      <w:ind w:left="1843" w:hanging="0"/>
      <w:jc w:val="both"/>
    </w:pPr>
    <w:rPr>
      <w:sz w:val="24"/>
    </w:rPr>
  </w:style>
  <w:style w:type="paragraph" w:styleId="BalloonText">
    <w:name w:val="Balloon Text"/>
    <w:basedOn w:val="Normal"/>
    <w:link w:val="Style1"/>
    <w:semiHidden/>
    <w:qFormat/>
    <w:rsid w:val="00886f70"/>
    <w:pPr/>
    <w:rPr>
      <w:rFonts w:ascii="Tahoma" w:hAnsi="Tahoma" w:cs="Tahoma"/>
      <w:sz w:val="16"/>
      <w:szCs w:val="16"/>
    </w:rPr>
  </w:style>
  <w:style w:type="paragraph" w:styleId="BodyText2">
    <w:name w:val="Body Text 2"/>
    <w:basedOn w:val="Normal"/>
    <w:link w:val="21"/>
    <w:qFormat/>
    <w:rsid w:val="00886f70"/>
    <w:pPr>
      <w:widowControl/>
      <w:spacing w:lineRule="auto" w:line="480" w:before="0" w:after="120"/>
    </w:pPr>
    <w:rPr>
      <w:sz w:val="24"/>
      <w:szCs w:val="24"/>
    </w:rPr>
  </w:style>
  <w:style w:type="paragraph" w:styleId="Style25" w:customStyle="1">
    <w:name w:val="Колонтитул"/>
    <w:basedOn w:val="Normal"/>
    <w:qFormat/>
    <w:pPr/>
    <w:rPr/>
  </w:style>
  <w:style w:type="paragraph" w:styleId="Footer">
    <w:name w:val="Footer"/>
    <w:basedOn w:val="Normal"/>
    <w:link w:val="Style3"/>
    <w:uiPriority w:val="99"/>
    <w:rsid w:val="00886f70"/>
    <w:pPr>
      <w:tabs>
        <w:tab w:val="clear" w:pos="709"/>
        <w:tab w:val="center" w:pos="4677" w:leader="none"/>
        <w:tab w:val="right" w:pos="9355" w:leader="none"/>
      </w:tabs>
    </w:pPr>
    <w:rPr/>
  </w:style>
  <w:style w:type="paragraph" w:styleId="BodyText3">
    <w:name w:val="Body Text 3"/>
    <w:basedOn w:val="Normal"/>
    <w:link w:val="31"/>
    <w:qFormat/>
    <w:rsid w:val="00886f70"/>
    <w:pPr>
      <w:spacing w:before="0" w:after="120"/>
    </w:pPr>
    <w:rPr>
      <w:sz w:val="16"/>
      <w:szCs w:val="16"/>
      <w:lang w:val="x-none" w:eastAsia="x-none"/>
    </w:rPr>
  </w:style>
  <w:style w:type="paragraph" w:styleId="Annotationtext">
    <w:name w:val="annotation text"/>
    <w:basedOn w:val="Normal"/>
    <w:link w:val="Style4"/>
    <w:qFormat/>
    <w:rsid w:val="00886f70"/>
    <w:pPr/>
    <w:rPr/>
  </w:style>
  <w:style w:type="paragraph" w:styleId="Annotationsubject">
    <w:name w:val="annotation subject"/>
    <w:basedOn w:val="Annotationtext"/>
    <w:next w:val="Annotationtext"/>
    <w:link w:val="Style5"/>
    <w:qFormat/>
    <w:rsid w:val="00886f70"/>
    <w:pPr/>
    <w:rPr>
      <w:b/>
      <w:bCs/>
      <w:lang w:val="x-none" w:eastAsia="x-none"/>
    </w:rPr>
  </w:style>
  <w:style w:type="paragraph" w:styleId="ListParagraph">
    <w:name w:val="List Paragraph"/>
    <w:basedOn w:val="Normal"/>
    <w:link w:val="Style12"/>
    <w:uiPriority w:val="34"/>
    <w:qFormat/>
    <w:rsid w:val="00886f70"/>
    <w:pPr>
      <w:spacing w:before="0" w:after="0"/>
      <w:ind w:left="720" w:hanging="0"/>
      <w:contextualSpacing/>
    </w:pPr>
    <w:rPr/>
  </w:style>
  <w:style w:type="paragraph" w:styleId="Style26" w:customStyle="1">
    <w:name w:val="Знак Знак Знак Знак Знак Знак Знак Знак Знак"/>
    <w:basedOn w:val="Normal"/>
    <w:uiPriority w:val="99"/>
    <w:qFormat/>
    <w:rsid w:val="00886f70"/>
    <w:pPr>
      <w:widowControl/>
      <w:spacing w:lineRule="exact" w:line="240" w:before="0" w:after="160"/>
      <w:jc w:val="both"/>
    </w:pPr>
    <w:rPr>
      <w:rFonts w:ascii="Verdana" w:hAnsi="Verdana"/>
      <w:sz w:val="22"/>
      <w:lang w:val="en-US" w:eastAsia="en-US"/>
    </w:rPr>
  </w:style>
  <w:style w:type="paragraph" w:styleId="Style27" w:customStyle="1">
    <w:name w:val="Подпункт договора"/>
    <w:basedOn w:val="Normal"/>
    <w:qFormat/>
    <w:rsid w:val="00886f70"/>
    <w:pPr>
      <w:widowControl/>
      <w:tabs>
        <w:tab w:val="clear" w:pos="709"/>
        <w:tab w:val="left" w:pos="360" w:leader="none"/>
      </w:tabs>
      <w:jc w:val="both"/>
    </w:pPr>
    <w:rPr>
      <w:rFonts w:ascii="Arial" w:hAnsi="Arial"/>
    </w:rPr>
  </w:style>
  <w:style w:type="paragraph" w:styleId="ConsNormal" w:customStyle="1">
    <w:name w:val="ConsNormal"/>
    <w:qFormat/>
    <w:rsid w:val="00886f70"/>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6"/>
    <w:rsid w:val="00886f70"/>
    <w:pPr>
      <w:spacing w:before="0" w:after="120"/>
      <w:ind w:left="283" w:hanging="0"/>
    </w:pPr>
    <w:rPr/>
  </w:style>
  <w:style w:type="paragraph" w:styleId="Style28" w:customStyle="1">
    <w:name w:val="Знак"/>
    <w:basedOn w:val="Normal"/>
    <w:qFormat/>
    <w:rsid w:val="00886f70"/>
    <w:pPr>
      <w:widowControl/>
      <w:spacing w:lineRule="exact" w:line="240" w:before="0" w:after="160"/>
    </w:pPr>
    <w:rPr>
      <w:rFonts w:ascii="Verdana" w:hAnsi="Verdana" w:cs="Verdana"/>
      <w:lang w:val="en-US" w:eastAsia="en-US"/>
    </w:rPr>
  </w:style>
  <w:style w:type="paragraph" w:styleId="FootnoteText">
    <w:name w:val="Footnote Text"/>
    <w:basedOn w:val="Normal"/>
    <w:link w:val="Style8"/>
    <w:uiPriority w:val="99"/>
    <w:rsid w:val="00886f70"/>
    <w:pPr/>
    <w:rPr/>
  </w:style>
  <w:style w:type="paragraph" w:styleId="ListBullet3">
    <w:name w:val="List Bullet 3"/>
    <w:basedOn w:val="Normal"/>
    <w:uiPriority w:val="99"/>
    <w:unhideWhenUsed/>
    <w:qFormat/>
    <w:rsid w:val="00886f70"/>
    <w:pPr>
      <w:widowControl/>
      <w:tabs>
        <w:tab w:val="clear" w:pos="709"/>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886f70"/>
    <w:pPr>
      <w:widowControl/>
      <w:tabs>
        <w:tab w:val="clear" w:pos="709"/>
        <w:tab w:val="left" w:pos="851" w:leader="none"/>
      </w:tabs>
      <w:spacing w:lineRule="auto" w:line="360"/>
      <w:ind w:left="851" w:hanging="851"/>
      <w:jc w:val="both"/>
    </w:pPr>
    <w:rPr>
      <w:rFonts w:eastAsia="Calibri"/>
      <w:sz w:val="28"/>
      <w:szCs w:val="28"/>
    </w:rPr>
  </w:style>
  <w:style w:type="paragraph" w:styleId="DocumentMap">
    <w:name w:val="Document Map"/>
    <w:basedOn w:val="Normal"/>
    <w:link w:val="Style10"/>
    <w:semiHidden/>
    <w:qFormat/>
    <w:rsid w:val="00886f70"/>
    <w:pPr>
      <w:shd w:val="clear" w:color="auto" w:fill="000080"/>
    </w:pPr>
    <w:rPr>
      <w:rFonts w:ascii="Tahoma" w:hAnsi="Tahoma" w:cs="Tahoma"/>
    </w:rPr>
  </w:style>
  <w:style w:type="paragraph" w:styleId="Revision">
    <w:name w:val="Revision"/>
    <w:uiPriority w:val="99"/>
    <w:semiHidden/>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1"/>
    <w:rsid w:val="00886f70"/>
    <w:pPr>
      <w:tabs>
        <w:tab w:val="clear" w:pos="709"/>
        <w:tab w:val="center" w:pos="4677" w:leader="none"/>
        <w:tab w:val="right" w:pos="9355" w:leader="none"/>
      </w:tabs>
    </w:pPr>
    <w:rPr/>
  </w:style>
  <w:style w:type="paragraph" w:styleId="Style29" w:customStyle="1">
    <w:name w:val="Пункт договора"/>
    <w:basedOn w:val="Normal"/>
    <w:qFormat/>
    <w:rsid w:val="00886f70"/>
    <w:pPr>
      <w:jc w:val="both"/>
    </w:pPr>
    <w:rPr>
      <w:rFonts w:ascii="Arial" w:hAnsi="Arial"/>
    </w:rPr>
  </w:style>
  <w:style w:type="paragraph" w:styleId="15" w:customStyle="1">
    <w:name w:val="Знак Знак Знак Знак Знак Знак Знак Знак Знак1"/>
    <w:basedOn w:val="Normal"/>
    <w:qFormat/>
    <w:rsid w:val="00886f70"/>
    <w:pPr>
      <w:widowControl/>
      <w:spacing w:lineRule="exact" w:line="240" w:before="0" w:after="160"/>
      <w:jc w:val="both"/>
    </w:pPr>
    <w:rPr>
      <w:rFonts w:ascii="Verdana" w:hAnsi="Verdana"/>
      <w:sz w:val="22"/>
      <w:lang w:val="en-US" w:eastAsia="en-US"/>
    </w:rPr>
  </w:style>
  <w:style w:type="paragraph" w:styleId="16" w:customStyle="1">
    <w:name w:val="Обычный1"/>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ConsPlusNormal" w:customStyle="1">
    <w:name w:val="ConsPlusNormal"/>
    <w:qFormat/>
    <w:rsid w:val="00886f70"/>
    <w:pPr>
      <w:widowControl w:val="false"/>
      <w:suppressAutoHyphens w:val="true"/>
      <w:bidi w:val="0"/>
      <w:spacing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Standard" w:customStyle="1">
    <w:name w:val="Standard"/>
    <w:qFormat/>
    <w:rsid w:val="00a106e8"/>
    <w:pPr>
      <w:widowControl/>
      <w:suppressAutoHyphens w:val="true"/>
      <w:bidi w:val="0"/>
      <w:spacing w:before="0" w:after="0"/>
      <w:jc w:val="left"/>
      <w:textAlignment w:val="baseline"/>
    </w:pPr>
    <w:rPr>
      <w:rFonts w:ascii="Liberation Serif" w:hAnsi="Liberation Serif" w:eastAsia="Arial Unicode MS" w:cs="Arial Unicode MS"/>
      <w:color w:val="auto"/>
      <w:kern w:val="2"/>
      <w:sz w:val="24"/>
      <w:szCs w:val="24"/>
      <w:lang w:val="ru-RU" w:eastAsia="zh-CN" w:bidi="hi-IN"/>
    </w:rPr>
  </w:style>
  <w:style w:type="paragraph" w:styleId="Style30">
    <w:name w:val="Содержимое таблицы"/>
    <w:basedOn w:val="Normal"/>
    <w:qFormat/>
    <w:pPr>
      <w:widowControl w:val="false"/>
      <w:suppressLineNumbers/>
    </w:pPr>
    <w:rPr/>
  </w:style>
  <w:style w:type="paragraph" w:styleId="Style31">
    <w:name w:val="Заголовок таблицы"/>
    <w:basedOn w:val="Style30"/>
    <w:qFormat/>
    <w:pPr>
      <w:jc w:val="center"/>
    </w:pPr>
    <w:rPr>
      <w:b/>
      <w:bCs/>
    </w:rPr>
  </w:style>
  <w:style w:type="paragraph" w:styleId="Style32">
    <w:name w:val="Содержимое врезки"/>
    <w:basedOn w:val="Normal"/>
    <w:qFormat/>
    <w:pPr/>
    <w:rPr/>
  </w:style>
  <w:style w:type="paragraph" w:styleId="311">
    <w:name w:val="Основной текст с отступом 31"/>
    <w:basedOn w:val="Normal"/>
    <w:qFormat/>
    <w:pPr>
      <w:ind w:left="0" w:right="0" w:firstLine="708"/>
    </w:pPr>
    <w:rPr>
      <w:sz w:val="24"/>
      <w:szCs w:val="24"/>
      <w:lang w:eastAsia="ar-SA"/>
    </w:rPr>
  </w:style>
  <w:style w:type="paragraph" w:styleId="FORMATTEXT">
    <w:name w:val=".FORMATTEXT"/>
    <w:qFormat/>
    <w:pPr>
      <w:widowControl w:val="false"/>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Style33">
    <w:name w:val="основной для подзаголовков"/>
    <w:basedOn w:val="Heading2"/>
    <w:qFormat/>
    <w:pPr>
      <w:tabs>
        <w:tab w:val="clear" w:pos="709"/>
      </w:tabs>
      <w:spacing w:before="120" w:after="120"/>
    </w:pPr>
    <w:rPr>
      <w:rFonts w:eastAsia="Times New Roman"/>
      <w:bCs w:val="false"/>
      <w:sz w:val="28"/>
      <w:szCs w:val="28"/>
      <w:lang w:val="ru-RU" w:eastAsia="ru-RU"/>
    </w:rPr>
  </w:style>
  <w:style w:type="paragraph" w:styleId="TOC8">
    <w:name w:val="TOC 8"/>
    <w:basedOn w:val="Normal"/>
    <w:next w:val="Normal"/>
    <w:pPr>
      <w:ind w:left="1680" w:right="0" w:hanging="0"/>
    </w:pPr>
    <w:rPr>
      <w:rFonts w:ascii="Calibri" w:hAnsi="Calibri" w:cs="Calibri"/>
      <w:sz w:val="20"/>
      <w:szCs w:val="20"/>
    </w:rPr>
  </w:style>
  <w:style w:type="paragraph" w:styleId="TOC7">
    <w:name w:val="TOC 7"/>
    <w:basedOn w:val="Normal"/>
    <w:next w:val="Normal"/>
    <w:pPr>
      <w:ind w:left="1400" w:right="0" w:hanging="0"/>
    </w:pPr>
    <w:rPr>
      <w:rFonts w:ascii="Calibri" w:hAnsi="Calibri" w:cs="Calibri"/>
      <w:sz w:val="20"/>
      <w:szCs w:val="20"/>
    </w:rPr>
  </w:style>
  <w:style w:type="paragraph" w:styleId="TOC6">
    <w:name w:val="TOC 6"/>
    <w:basedOn w:val="Normal"/>
    <w:next w:val="Normal"/>
    <w:pPr>
      <w:ind w:left="1120" w:right="0" w:hanging="0"/>
    </w:pPr>
    <w:rPr>
      <w:rFonts w:ascii="Calibri" w:hAnsi="Calibri" w:cs="Calibri"/>
      <w:sz w:val="20"/>
      <w:szCs w:val="20"/>
    </w:rPr>
  </w:style>
  <w:style w:type="paragraph" w:styleId="17">
    <w:name w:val="УРОВЕНЬ_1."/>
    <w:basedOn w:val="ListParagraph"/>
    <w:qFormat/>
    <w:pPr>
      <w:keepNext w:val="true"/>
      <w:keepLines/>
      <w:numPr>
        <w:ilvl w:val="0"/>
        <w:numId w:val="0"/>
      </w:numPr>
      <w:spacing w:lineRule="auto" w:line="276" w:before="240" w:after="120"/>
      <w:ind w:left="0" w:right="0" w:hanging="0"/>
      <w:contextualSpacing w:val="false"/>
      <w:jc w:val="both"/>
      <w:outlineLvl w:val="0"/>
    </w:pPr>
    <w:rPr>
      <w:caps/>
      <w:sz w:val="28"/>
      <w:szCs w:val="28"/>
      <w:lang w:eastAsia="en-US"/>
    </w:rPr>
  </w:style>
  <w:style w:type="paragraph" w:styleId="NormalWeb">
    <w:name w:val="Normal (Web)"/>
    <w:basedOn w:val="Normal"/>
    <w:qFormat/>
    <w:pPr>
      <w:spacing w:before="280" w:after="280"/>
    </w:pPr>
    <w:rPr>
      <w:sz w:val="24"/>
      <w:szCs w:val="24"/>
    </w:rPr>
  </w:style>
  <w:style w:type="paragraph" w:styleId="Style34">
    <w:name w:val="Таблица текст"/>
    <w:basedOn w:val="Normal"/>
    <w:qFormat/>
    <w:pPr>
      <w:spacing w:before="40" w:after="40"/>
      <w:ind w:left="57" w:right="57" w:hanging="0"/>
    </w:pPr>
    <w:rPr>
      <w:sz w:val="24"/>
      <w:szCs w:val="26"/>
    </w:rPr>
  </w:style>
  <w:style w:type="paragraph" w:styleId="25">
    <w:name w:val="Заголовок 2 КВВ"/>
    <w:basedOn w:val="Normal"/>
    <w:qFormat/>
    <w:pPr>
      <w:keepNext w:val="true"/>
      <w:numPr>
        <w:ilvl w:val="0"/>
        <w:numId w:val="5"/>
      </w:numPr>
      <w:spacing w:before="120" w:after="120"/>
      <w:jc w:val="both"/>
      <w:outlineLvl w:val="0"/>
    </w:pPr>
    <w:rPr>
      <w:b/>
      <w:kern w:val="2"/>
      <w:sz w:val="24"/>
      <w:szCs w:val="20"/>
      <w:lang w:eastAsia="x-none"/>
    </w:rPr>
  </w:style>
  <w:style w:type="paragraph" w:styleId="EndnoteText">
    <w:name w:val="Endnote Text"/>
    <w:basedOn w:val="Normal"/>
    <w:pPr/>
    <w:rPr>
      <w:sz w:val="20"/>
      <w:szCs w:val="20"/>
    </w:rPr>
  </w:style>
  <w:style w:type="paragraph" w:styleId="18">
    <w:name w:val="Стиль Заголовок 1 + по ширине"/>
    <w:basedOn w:val="Heading1"/>
    <w:qFormat/>
    <w:pPr>
      <w:keepLines/>
      <w:tabs>
        <w:tab w:val="clear" w:pos="709"/>
        <w:tab w:val="left" w:pos="567" w:leader="none"/>
      </w:tabs>
      <w:spacing w:before="480" w:after="240"/>
      <w:ind w:left="567" w:right="0" w:hanging="567"/>
      <w:jc w:val="both"/>
    </w:pPr>
    <w:rPr>
      <w:rFonts w:ascii="Arial" w:hAnsi="Arial" w:eastAsia="Times New Roman"/>
      <w:bCs/>
      <w:kern w:val="2"/>
      <w:sz w:val="40"/>
      <w:szCs w:val="20"/>
      <w:lang w:val="ru-RU" w:eastAsia="ru-RU"/>
    </w:rPr>
  </w:style>
  <w:style w:type="paragraph" w:styleId="Style35">
    <w:name w:val="УРОВЕНЬ_Подпись"/>
    <w:basedOn w:val="ListParagraph"/>
    <w:qFormat/>
    <w:pPr>
      <w:keepNext w:val="true"/>
      <w:numPr>
        <w:ilvl w:val="5"/>
        <w:numId w:val="4"/>
      </w:numPr>
      <w:spacing w:lineRule="exact" w:line="360" w:before="120" w:after="120"/>
      <w:contextualSpacing w:val="false"/>
      <w:jc w:val="right"/>
      <w:outlineLvl w:val="3"/>
    </w:pPr>
    <w:rPr>
      <w:sz w:val="26"/>
      <w:szCs w:val="28"/>
      <w:lang w:eastAsia="en-US"/>
    </w:rPr>
  </w:style>
  <w:style w:type="paragraph" w:styleId="34">
    <w:name w:val="УРОВЕНЬ_Абзац_тип3"/>
    <w:basedOn w:val="ListParagraph"/>
    <w:qFormat/>
    <w:pPr>
      <w:numPr>
        <w:ilvl w:val="7"/>
        <w:numId w:val="4"/>
      </w:numPr>
      <w:spacing w:lineRule="exact" w:line="360" w:before="120" w:after="0"/>
      <w:contextualSpacing w:val="false"/>
      <w:jc w:val="both"/>
    </w:pPr>
    <w:rPr>
      <w:sz w:val="26"/>
      <w:szCs w:val="28"/>
      <w:lang w:eastAsia="en-US"/>
    </w:rPr>
  </w:style>
  <w:style w:type="paragraph" w:styleId="26">
    <w:name w:val="УРОВЕНЬ_Абзац_тип2"/>
    <w:basedOn w:val="ListParagraph"/>
    <w:qFormat/>
    <w:pPr>
      <w:numPr>
        <w:ilvl w:val="6"/>
        <w:numId w:val="4"/>
      </w:numPr>
      <w:spacing w:lineRule="exact" w:line="360" w:before="120" w:after="0"/>
      <w:contextualSpacing w:val="false"/>
      <w:jc w:val="both"/>
    </w:pPr>
    <w:rPr>
      <w:sz w:val="26"/>
      <w:szCs w:val="28"/>
      <w:lang w:eastAsia="en-US"/>
    </w:rPr>
  </w:style>
  <w:style w:type="paragraph" w:styleId="-1">
    <w:name w:val="УРОВЕНЬ_-"/>
    <w:basedOn w:val="ListParagraph"/>
    <w:qFormat/>
    <w:pPr>
      <w:numPr>
        <w:ilvl w:val="4"/>
        <w:numId w:val="4"/>
      </w:numPr>
      <w:spacing w:lineRule="exact" w:line="360" w:before="120" w:after="0"/>
      <w:contextualSpacing w:val="false"/>
      <w:jc w:val="both"/>
      <w:outlineLvl w:val="4"/>
    </w:pPr>
    <w:rPr>
      <w:sz w:val="26"/>
      <w:szCs w:val="28"/>
      <w:lang w:eastAsia="en-US"/>
    </w:rPr>
  </w:style>
  <w:style w:type="paragraph" w:styleId="Style36">
    <w:name w:val="УРОВЕНЬ_(а)"/>
    <w:basedOn w:val="ListParagraph"/>
    <w:qFormat/>
    <w:pPr>
      <w:numPr>
        <w:ilvl w:val="3"/>
        <w:numId w:val="4"/>
      </w:numPr>
      <w:spacing w:lineRule="exact" w:line="360" w:before="120" w:after="0"/>
      <w:contextualSpacing w:val="false"/>
      <w:jc w:val="both"/>
      <w:outlineLvl w:val="3"/>
    </w:pPr>
    <w:rPr>
      <w:sz w:val="26"/>
      <w:szCs w:val="28"/>
      <w:lang w:eastAsia="en-US"/>
    </w:rPr>
  </w:style>
  <w:style w:type="paragraph" w:styleId="Style37">
    <w:name w:val="Подподпункт"/>
    <w:basedOn w:val="Style43"/>
    <w:qFormat/>
    <w:pPr>
      <w:tabs>
        <w:tab w:val="clear" w:pos="1134"/>
        <w:tab w:val="left" w:pos="5104" w:leader="none"/>
      </w:tabs>
      <w:snapToGrid w:val="true"/>
      <w:spacing w:lineRule="auto" w:line="240" w:before="120" w:after="0"/>
      <w:ind w:left="5104" w:right="0" w:hanging="567"/>
    </w:pPr>
    <w:rPr>
      <w:sz w:val="26"/>
      <w:szCs w:val="26"/>
      <w:lang w:val="ru-RU" w:eastAsia="ru-RU"/>
    </w:rPr>
  </w:style>
  <w:style w:type="paragraph" w:styleId="Style38">
    <w:name w:val="Таблица шапка"/>
    <w:basedOn w:val="Normal"/>
    <w:qFormat/>
    <w:pPr>
      <w:keepNext w:val="true"/>
      <w:spacing w:before="40" w:after="40"/>
      <w:ind w:left="57" w:right="57" w:hanging="0"/>
    </w:pPr>
    <w:rPr>
      <w:sz w:val="22"/>
      <w:szCs w:val="26"/>
    </w:rPr>
  </w:style>
  <w:style w:type="paragraph" w:styleId="Style39">
    <w:name w:val="Таблица"/>
    <w:basedOn w:val="Normal"/>
    <w:qFormat/>
    <w:pPr>
      <w:keepNext w:val="true"/>
      <w:spacing w:before="60" w:after="60"/>
      <w:jc w:val="center"/>
    </w:pPr>
    <w:rPr>
      <w:rFonts w:eastAsia="Calibri"/>
      <w:b/>
      <w:sz w:val="24"/>
      <w:szCs w:val="24"/>
      <w:lang w:val="x-none" w:eastAsia="x-none"/>
    </w:rPr>
  </w:style>
  <w:style w:type="paragraph" w:styleId="19">
    <w:name w:val="Абзац списка1"/>
    <w:basedOn w:val="Normal"/>
    <w:qFormat/>
    <w:pPr>
      <w:spacing w:lineRule="auto" w:line="276" w:before="0" w:after="200"/>
      <w:ind w:left="720" w:right="0" w:hanging="0"/>
      <w:contextualSpacing/>
    </w:pPr>
    <w:rPr>
      <w:rFonts w:ascii="Calibri" w:hAnsi="Calibri"/>
      <w:sz w:val="22"/>
      <w:szCs w:val="22"/>
      <w:lang w:eastAsia="en-US"/>
    </w:rPr>
  </w:style>
  <w:style w:type="paragraph" w:styleId="Style40">
    <w:name w:val="Пункт"/>
    <w:basedOn w:val="Normal"/>
    <w:qFormat/>
    <w:pPr>
      <w:widowControl w:val="false"/>
      <w:tabs>
        <w:tab w:val="clear" w:pos="709"/>
        <w:tab w:val="left" w:pos="1134" w:leader="none"/>
      </w:tabs>
      <w:spacing w:lineRule="auto" w:line="360" w:before="120" w:after="0"/>
      <w:ind w:left="1134" w:right="800" w:hanging="1134"/>
      <w:jc w:val="both"/>
    </w:pPr>
    <w:rPr>
      <w:rFonts w:ascii="Arial" w:hAnsi="Arial"/>
      <w:b/>
      <w:i/>
      <w:szCs w:val="20"/>
    </w:rPr>
  </w:style>
  <w:style w:type="paragraph" w:styleId="35">
    <w:name w:val="Знак Знак3 Знак Знак"/>
    <w:basedOn w:val="Normal"/>
    <w:qFormat/>
    <w:pPr>
      <w:spacing w:lineRule="exact" w:line="240" w:before="0" w:after="160"/>
      <w:jc w:val="both"/>
    </w:pPr>
    <w:rPr>
      <w:rFonts w:ascii="Verdana" w:hAnsi="Verdana" w:cs="Verdana"/>
      <w:sz w:val="22"/>
      <w:szCs w:val="22"/>
      <w:lang w:val="en-US" w:eastAsia="en-US"/>
    </w:rPr>
  </w:style>
  <w:style w:type="paragraph" w:styleId="27">
    <w:name w:val="Нумерованный список ур2"/>
    <w:basedOn w:val="Normal"/>
    <w:qFormat/>
    <w:pPr>
      <w:numPr>
        <w:ilvl w:val="1"/>
        <w:numId w:val="2"/>
      </w:numPr>
      <w:spacing w:before="120" w:after="0"/>
      <w:jc w:val="both"/>
    </w:pPr>
    <w:rPr>
      <w:rFonts w:ascii="Garamond" w:hAnsi="Garamond"/>
      <w:sz w:val="24"/>
      <w:szCs w:val="20"/>
    </w:rPr>
  </w:style>
  <w:style w:type="paragraph" w:styleId="312">
    <w:name w:val="Список 31"/>
    <w:basedOn w:val="Normal"/>
    <w:qFormat/>
    <w:pPr>
      <w:numPr>
        <w:ilvl w:val="0"/>
        <w:numId w:val="2"/>
      </w:numPr>
      <w:spacing w:before="120" w:after="0"/>
      <w:jc w:val="both"/>
    </w:pPr>
    <w:rPr>
      <w:rFonts w:ascii="Garamond" w:hAnsi="Garamond"/>
      <w:sz w:val="24"/>
      <w:szCs w:val="20"/>
    </w:rPr>
  </w:style>
  <w:style w:type="paragraph" w:styleId="36">
    <w:name w:val="Нумерованный список ур3"/>
    <w:basedOn w:val="Normal"/>
    <w:qFormat/>
    <w:pPr>
      <w:numPr>
        <w:ilvl w:val="2"/>
        <w:numId w:val="2"/>
      </w:numPr>
      <w:jc w:val="both"/>
    </w:pPr>
    <w:rPr>
      <w:rFonts w:ascii="Garamond" w:hAnsi="Garamond"/>
      <w:sz w:val="24"/>
      <w:szCs w:val="20"/>
    </w:rPr>
  </w:style>
  <w:style w:type="paragraph" w:styleId="E-mailSignature">
    <w:name w:val="E-mail Signature"/>
    <w:basedOn w:val="Normal"/>
    <w:qFormat/>
    <w:pPr/>
    <w:rPr>
      <w:rFonts w:eastAsia="Calibri"/>
      <w:sz w:val="24"/>
      <w:szCs w:val="24"/>
      <w:lang w:val="x-none" w:eastAsia="x-none"/>
    </w:rPr>
  </w:style>
  <w:style w:type="paragraph" w:styleId="IndexHeading">
    <w:name w:val="Index Heading"/>
    <w:basedOn w:val="Style22"/>
    <w:pPr>
      <w:suppressLineNumbers/>
      <w:ind w:left="0" w:hanging="0"/>
    </w:pPr>
    <w:rPr>
      <w:b/>
      <w:bCs/>
      <w:sz w:val="32"/>
      <w:szCs w:val="32"/>
    </w:rPr>
  </w:style>
  <w:style w:type="paragraph" w:styleId="TOCHeading">
    <w:name w:val="TOC Heading"/>
    <w:basedOn w:val="Heading1"/>
    <w:next w:val="Normal"/>
    <w:qFormat/>
    <w:pPr>
      <w:keepLines/>
      <w:spacing w:before="480" w:after="60"/>
      <w:outlineLvl w:val="9"/>
    </w:pPr>
    <w:rPr>
      <w:rFonts w:ascii="Cambria" w:hAnsi="Cambria"/>
      <w:bCs/>
      <w:color w:val="365F91"/>
    </w:rPr>
  </w:style>
  <w:style w:type="paragraph" w:styleId="IntenseQuote">
    <w:name w:val="Intense Quote"/>
    <w:basedOn w:val="Normal"/>
    <w:next w:val="Normal"/>
    <w:qFormat/>
    <w:pPr>
      <w:pBdr>
        <w:bottom w:val="single" w:sz="4" w:space="4" w:color="4F81BD"/>
      </w:pBdr>
      <w:spacing w:before="200" w:after="280"/>
      <w:ind w:left="936" w:right="936" w:hanging="0"/>
    </w:pPr>
    <w:rPr>
      <w:rFonts w:ascii="Calibri" w:hAnsi="Calibri" w:eastAsia="Calibri"/>
      <w:b/>
      <w:bCs/>
      <w:i/>
      <w:iCs/>
      <w:color w:val="4F81BD"/>
      <w:sz w:val="20"/>
      <w:szCs w:val="20"/>
      <w:lang w:val="x-none" w:eastAsia="x-none"/>
    </w:rPr>
  </w:style>
  <w:style w:type="paragraph" w:styleId="Quote">
    <w:name w:val="Quote"/>
    <w:basedOn w:val="Normal"/>
    <w:next w:val="Normal"/>
    <w:qFormat/>
    <w:pPr/>
    <w:rPr>
      <w:rFonts w:ascii="Calibri" w:hAnsi="Calibri" w:eastAsia="Calibri"/>
      <w:i/>
      <w:iCs/>
      <w:color w:val="000000"/>
      <w:sz w:val="20"/>
      <w:szCs w:val="20"/>
      <w:lang w:val="x-none" w:eastAsia="x-none"/>
    </w:rPr>
  </w:style>
  <w:style w:type="paragraph" w:styleId="Subtitle">
    <w:name w:val="Subtitle"/>
    <w:basedOn w:val="Normal"/>
    <w:next w:val="Normal"/>
    <w:qFormat/>
    <w:pPr>
      <w:ind w:left="1066" w:right="0" w:firstLine="709"/>
    </w:pPr>
    <w:rPr>
      <w:rFonts w:ascii="Cambria" w:hAnsi="Cambria"/>
      <w:i/>
      <w:iCs/>
      <w:color w:val="4F81BD"/>
      <w:spacing w:val="15"/>
      <w:sz w:val="24"/>
      <w:szCs w:val="24"/>
      <w:lang w:val="x-none" w:eastAsia="x-none"/>
    </w:rPr>
  </w:style>
  <w:style w:type="paragraph" w:styleId="Caption11111111">
    <w:name w:val="caption11111111"/>
    <w:basedOn w:val="Normal"/>
    <w:next w:val="Normal"/>
    <w:qFormat/>
    <w:pPr/>
    <w:rPr>
      <w:rFonts w:eastAsia="Calibri"/>
      <w:b/>
      <w:bCs/>
      <w:color w:val="4F81BD"/>
      <w:sz w:val="18"/>
      <w:szCs w:val="18"/>
    </w:rPr>
  </w:style>
  <w:style w:type="paragraph" w:styleId="NoSpacing">
    <w:name w:val="No Spacing"/>
    <w:basedOn w:val="Normal"/>
    <w:qFormat/>
    <w:pPr>
      <w:spacing w:lineRule="auto" w:line="360"/>
    </w:pPr>
    <w:rPr>
      <w:rFonts w:eastAsia="Calibri"/>
      <w:sz w:val="24"/>
      <w:szCs w:val="24"/>
    </w:rPr>
  </w:style>
  <w:style w:type="paragraph" w:styleId="28">
    <w:name w:val="Раздел положения 2"/>
    <w:basedOn w:val="Normal"/>
    <w:qFormat/>
    <w:pPr>
      <w:pageBreakBefore/>
      <w:numPr>
        <w:ilvl w:val="0"/>
        <w:numId w:val="0"/>
      </w:numPr>
      <w:jc w:val="both"/>
      <w:outlineLvl w:val="0"/>
    </w:pPr>
    <w:rPr>
      <w:b/>
    </w:rPr>
  </w:style>
  <w:style w:type="paragraph" w:styleId="TOC4">
    <w:name w:val="TOC 4"/>
    <w:basedOn w:val="Normal"/>
    <w:next w:val="Normal"/>
    <w:pPr>
      <w:ind w:left="560" w:right="0" w:hanging="0"/>
    </w:pPr>
    <w:rPr>
      <w:rFonts w:cs="Calibri"/>
      <w:sz w:val="20"/>
      <w:szCs w:val="20"/>
    </w:rPr>
  </w:style>
  <w:style w:type="paragraph" w:styleId="TOC5">
    <w:name w:val="TOC 5"/>
    <w:basedOn w:val="Normal"/>
    <w:next w:val="Normal"/>
    <w:pPr>
      <w:ind w:left="840" w:right="0" w:hanging="0"/>
    </w:pPr>
    <w:rPr>
      <w:rFonts w:ascii="Calibri" w:hAnsi="Calibri" w:cs="Calibri"/>
      <w:sz w:val="20"/>
      <w:szCs w:val="20"/>
    </w:rPr>
  </w:style>
  <w:style w:type="paragraph" w:styleId="TOC9">
    <w:name w:val="TOC 9"/>
    <w:basedOn w:val="Normal"/>
    <w:next w:val="Normal"/>
    <w:pPr>
      <w:ind w:left="1960" w:right="0" w:hanging="0"/>
    </w:pPr>
    <w:rPr>
      <w:rFonts w:ascii="Calibri" w:hAnsi="Calibri" w:cs="Calibri"/>
      <w:sz w:val="20"/>
      <w:szCs w:val="20"/>
    </w:rPr>
  </w:style>
  <w:style w:type="paragraph" w:styleId="110">
    <w:name w:val="Обычный (веб)1"/>
    <w:basedOn w:val="Normal"/>
    <w:qFormat/>
    <w:pPr>
      <w:spacing w:before="280" w:after="280"/>
    </w:pPr>
    <w:rPr>
      <w:rFonts w:ascii="Arial Unicode MS" w:hAnsi="Arial Unicode MS" w:eastAsia="Arial Unicode MS" w:cs="Arial Unicode MS"/>
      <w:sz w:val="24"/>
      <w:szCs w:val="24"/>
    </w:rPr>
  </w:style>
  <w:style w:type="paragraph" w:styleId="TOC2">
    <w:name w:val="TOC 2"/>
    <w:basedOn w:val="Normal"/>
    <w:next w:val="Normal"/>
    <w:pPr>
      <w:spacing w:before="240" w:after="0"/>
    </w:pPr>
    <w:rPr>
      <w:rFonts w:cs="Calibri"/>
      <w:b/>
      <w:bCs/>
      <w:sz w:val="20"/>
      <w:szCs w:val="20"/>
    </w:rPr>
  </w:style>
  <w:style w:type="paragraph" w:styleId="Style41">
    <w:name w:val="Приложение к регламенту"/>
    <w:basedOn w:val="Normal"/>
    <w:qFormat/>
    <w:pPr>
      <w:jc w:val="right"/>
    </w:pPr>
    <w:rPr/>
  </w:style>
  <w:style w:type="paragraph" w:styleId="Style42">
    <w:name w:val="Раздел регламента"/>
    <w:basedOn w:val="Normal"/>
    <w:qFormat/>
    <w:pPr/>
    <w:rPr/>
  </w:style>
  <w:style w:type="paragraph" w:styleId="TOC3">
    <w:name w:val="TOC 3"/>
    <w:basedOn w:val="Normal"/>
    <w:next w:val="Normal"/>
    <w:pPr>
      <w:ind w:left="280" w:right="0" w:hanging="0"/>
    </w:pPr>
    <w:rPr>
      <w:rFonts w:cs="Calibri"/>
      <w:sz w:val="20"/>
      <w:szCs w:val="20"/>
    </w:rPr>
  </w:style>
  <w:style w:type="paragraph" w:styleId="TOC1">
    <w:name w:val="TOC 1"/>
    <w:basedOn w:val="Normal"/>
    <w:next w:val="Normal"/>
    <w:pPr>
      <w:spacing w:before="120" w:after="0"/>
    </w:pPr>
    <w:rPr>
      <w:rFonts w:cs="Calibri Light (Заголовки)"/>
      <w:b/>
      <w:bCs/>
      <w:sz w:val="24"/>
      <w:szCs w:val="24"/>
    </w:rPr>
  </w:style>
  <w:style w:type="paragraph" w:styleId="29">
    <w:name w:val="Пункт2"/>
    <w:basedOn w:val="Normal"/>
    <w:qFormat/>
    <w:pPr>
      <w:keepNext w:val="true"/>
      <w:numPr>
        <w:ilvl w:val="0"/>
        <w:numId w:val="0"/>
      </w:numPr>
      <w:tabs>
        <w:tab w:val="clear" w:pos="709"/>
        <w:tab w:val="left" w:pos="1134" w:leader="none"/>
      </w:tabs>
      <w:snapToGrid w:val="false"/>
      <w:spacing w:before="240" w:after="120"/>
      <w:ind w:left="1134" w:right="0" w:hanging="1134"/>
      <w:outlineLvl w:val="2"/>
    </w:pPr>
    <w:rPr>
      <w:b/>
      <w:szCs w:val="20"/>
    </w:rPr>
  </w:style>
  <w:style w:type="paragraph" w:styleId="Style43">
    <w:name w:val="Подпункт"/>
    <w:basedOn w:val="Normal"/>
    <w:qFormat/>
    <w:pPr>
      <w:tabs>
        <w:tab w:val="clear" w:pos="709"/>
        <w:tab w:val="left" w:pos="1134" w:leader="none"/>
      </w:tabs>
      <w:snapToGrid w:val="false"/>
      <w:spacing w:lineRule="auto" w:line="360"/>
      <w:ind w:left="1134" w:right="0" w:hanging="1134"/>
      <w:jc w:val="both"/>
    </w:pPr>
    <w:rPr>
      <w:szCs w:val="20"/>
      <w:lang w:val="x-none" w:eastAsia="x-none"/>
    </w:rPr>
  </w:style>
  <w:style w:type="paragraph" w:styleId="BlockText">
    <w:name w:val="Block Text"/>
    <w:basedOn w:val="Normal"/>
    <w:qFormat/>
    <w:pPr>
      <w:ind w:left="-567" w:right="-766" w:hanging="0"/>
      <w:jc w:val="center"/>
    </w:pPr>
    <w:rPr>
      <w:b/>
      <w:bCs/>
      <w:sz w:val="24"/>
      <w:szCs w:val="20"/>
    </w:rPr>
  </w:style>
  <w:style w:type="paragraph" w:styleId="BodyTextIndent3">
    <w:name w:val="Body Text Indent 3"/>
    <w:basedOn w:val="Normal"/>
    <w:qFormat/>
    <w:pPr>
      <w:spacing w:before="0" w:after="120"/>
      <w:ind w:left="283" w:right="0" w:hanging="0"/>
    </w:pPr>
    <w:rPr>
      <w:sz w:val="16"/>
      <w:szCs w:val="16"/>
    </w:rPr>
  </w:style>
  <w:style w:type="paragraph" w:styleId="111">
    <w:name w:val="Название1"/>
    <w:basedOn w:val="Normal"/>
    <w:qFormat/>
    <w:pPr>
      <w:jc w:val="center"/>
    </w:pPr>
    <w:rPr>
      <w:szCs w:val="20"/>
      <w:lang w:val="x-none" w:eastAsia="x-none"/>
    </w:rPr>
  </w:style>
  <w:style w:type="paragraph" w:styleId="37">
    <w:name w:val="Шапка 3"/>
    <w:basedOn w:val="Normal"/>
    <w:qFormat/>
    <w:pPr>
      <w:pBdr>
        <w:bottom w:val="thickThinSmallGap" w:sz="24" w:space="1" w:color="000000"/>
      </w:pBdr>
      <w:spacing w:before="240" w:after="360"/>
      <w:jc w:val="center"/>
    </w:pPr>
    <w:rPr>
      <w:b/>
      <w:sz w:val="24"/>
      <w:szCs w:val="24"/>
    </w:rPr>
  </w:style>
  <w:style w:type="paragraph" w:styleId="210">
    <w:name w:val="Шапка 2"/>
    <w:basedOn w:val="Normal"/>
    <w:qFormat/>
    <w:pPr>
      <w:pBdr>
        <w:bottom w:val="thickThinSmallGap" w:sz="24" w:space="1" w:color="000000"/>
      </w:pBdr>
      <w:spacing w:before="0" w:after="120"/>
      <w:jc w:val="center"/>
    </w:pPr>
    <w:rPr>
      <w:b/>
      <w:sz w:val="22"/>
      <w:szCs w:val="22"/>
    </w:rPr>
  </w:style>
  <w:style w:type="paragraph" w:styleId="112">
    <w:name w:val="Шапка 1"/>
    <w:basedOn w:val="Normal"/>
    <w:qFormat/>
    <w:pPr>
      <w:pBdr>
        <w:bottom w:val="thickThinSmallGap" w:sz="24" w:space="1" w:color="000000"/>
      </w:pBdr>
      <w:spacing w:before="0" w:after="240"/>
      <w:jc w:val="center"/>
    </w:pPr>
    <w:rPr>
      <w:sz w:val="22"/>
      <w:szCs w:val="22"/>
    </w:rPr>
  </w:style>
  <w:style w:type="paragraph" w:styleId="Style44">
    <w:name w:val="Подраздел раздела положения"/>
    <w:basedOn w:val="Normal"/>
    <w:qFormat/>
    <w:pPr>
      <w:numPr>
        <w:ilvl w:val="1"/>
        <w:numId w:val="1"/>
      </w:numPr>
      <w:spacing w:before="80" w:after="80"/>
      <w:jc w:val="both"/>
    </w:pPr>
    <w:rPr/>
  </w:style>
  <w:style w:type="paragraph" w:styleId="Style45">
    <w:name w:val="Раздел положения"/>
    <w:basedOn w:val="Normal"/>
    <w:qFormat/>
    <w:pPr>
      <w:numPr>
        <w:ilvl w:val="0"/>
        <w:numId w:val="1"/>
      </w:numPr>
      <w:spacing w:before="80" w:after="80"/>
      <w:jc w:val="center"/>
    </w:pPr>
    <w:rPr>
      <w:b/>
      <w:sz w:val="32"/>
      <w:szCs w:val="32"/>
    </w:rPr>
  </w:style>
  <w:style w:type="paragraph" w:styleId="Style46">
    <w:name w:val="Название раздела инструкции"/>
    <w:basedOn w:val="Normal"/>
    <w:qFormat/>
    <w:pPr>
      <w:jc w:val="center"/>
    </w:pPr>
    <w:rPr>
      <w:b/>
    </w:rPr>
  </w:style>
  <w:style w:type="paragraph" w:styleId="Indexheading1111111">
    <w:name w:val="index heading1111111"/>
    <w:basedOn w:val="Title"/>
    <w:qFormat/>
    <w:pPr/>
    <w:rPr/>
  </w:style>
  <w:style w:type="paragraph" w:styleId="Caption1111111">
    <w:name w:val="caption1111111"/>
    <w:basedOn w:val="Normal"/>
    <w:qFormat/>
    <w:pPr>
      <w:suppressLineNumbers/>
      <w:spacing w:before="120" w:after="120"/>
    </w:pPr>
    <w:rPr>
      <w:i/>
      <w:iCs/>
      <w:sz w:val="24"/>
      <w:szCs w:val="24"/>
    </w:rPr>
  </w:style>
  <w:style w:type="paragraph" w:styleId="Indexheading111111">
    <w:name w:val="index heading111111"/>
    <w:basedOn w:val="Title"/>
    <w:qFormat/>
    <w:pPr/>
    <w:rPr/>
  </w:style>
  <w:style w:type="paragraph" w:styleId="Caption111111">
    <w:name w:val="caption111111"/>
    <w:basedOn w:val="Normal"/>
    <w:qFormat/>
    <w:pPr>
      <w:suppressLineNumbers/>
      <w:spacing w:before="120" w:after="120"/>
    </w:pPr>
    <w:rPr>
      <w:i/>
      <w:iCs/>
      <w:sz w:val="24"/>
      <w:szCs w:val="24"/>
    </w:rPr>
  </w:style>
  <w:style w:type="paragraph" w:styleId="Indexheading11111">
    <w:name w:val="index heading11111"/>
    <w:basedOn w:val="Title"/>
    <w:qFormat/>
    <w:pPr/>
    <w:rPr/>
  </w:style>
  <w:style w:type="paragraph" w:styleId="Caption11111">
    <w:name w:val="caption11111"/>
    <w:basedOn w:val="Normal"/>
    <w:qFormat/>
    <w:pPr>
      <w:suppressLineNumbers/>
      <w:spacing w:before="120" w:after="120"/>
    </w:pPr>
    <w:rPr>
      <w:i/>
      <w:iCs/>
      <w:sz w:val="24"/>
      <w:szCs w:val="24"/>
    </w:rPr>
  </w:style>
  <w:style w:type="paragraph" w:styleId="Indexheading1111">
    <w:name w:val="index heading1111"/>
    <w:basedOn w:val="Title"/>
    <w:qFormat/>
    <w:pPr/>
    <w:rPr/>
  </w:style>
  <w:style w:type="paragraph" w:styleId="Caption1111">
    <w:name w:val="caption1111"/>
    <w:basedOn w:val="Normal"/>
    <w:qFormat/>
    <w:pPr>
      <w:suppressLineNumbers/>
      <w:spacing w:before="120" w:after="120"/>
    </w:pPr>
    <w:rPr>
      <w:i/>
      <w:iCs/>
      <w:sz w:val="24"/>
      <w:szCs w:val="24"/>
    </w:rPr>
  </w:style>
  <w:style w:type="paragraph" w:styleId="Indexheading111">
    <w:name w:val="index heading111"/>
    <w:basedOn w:val="Title"/>
    <w:qFormat/>
    <w:pPr/>
    <w:rPr/>
  </w:style>
  <w:style w:type="paragraph" w:styleId="Caption111">
    <w:name w:val="caption111"/>
    <w:basedOn w:val="Normal"/>
    <w:qFormat/>
    <w:pPr>
      <w:suppressLineNumbers/>
      <w:spacing w:before="120" w:after="120"/>
    </w:pPr>
    <w:rPr>
      <w:i/>
      <w:iCs/>
      <w:sz w:val="24"/>
      <w:szCs w:val="24"/>
    </w:rPr>
  </w:style>
  <w:style w:type="paragraph" w:styleId="Indexheading11">
    <w:name w:val="index heading11"/>
    <w:basedOn w:val="Title"/>
    <w:qFormat/>
    <w:pPr/>
    <w:rPr/>
  </w:style>
  <w:style w:type="paragraph" w:styleId="Indexheading12">
    <w:name w:val="index heading12"/>
    <w:basedOn w:val="Title"/>
    <w:qFormat/>
    <w:pPr/>
    <w:rPr/>
  </w:style>
  <w:style w:type="numbering" w:styleId="NoList" w:default="1">
    <w:name w:val="No List"/>
    <w:uiPriority w:val="99"/>
    <w:semiHidden/>
    <w:unhideWhenUsed/>
    <w:qFormat/>
  </w:style>
  <w:style w:type="numbering" w:styleId="113">
    <w:name w:val="Стиль1"/>
    <w:qFormat/>
  </w:style>
  <w:style w:type="numbering" w:styleId="211">
    <w:name w:val="Стиль2"/>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c">
    <w:name w:val="Table Grid"/>
    <w:basedOn w:val="a1"/>
    <w:rsid w:val="00886f70"/>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PBI&amp;n=199978" TargetMode="External"/><Relationship Id="rId3" Type="http://schemas.openxmlformats.org/officeDocument/2006/relationships/hyperlink" Target="https://login.consultant.ru/link/?req=doc&amp;base=PBI&amp;n=37584&amp;dst=100032" TargetMode="External"/><Relationship Id="rId4" Type="http://schemas.openxmlformats.org/officeDocument/2006/relationships/hyperlink" Target="consultantplus://offline/ref=94D5CE8889791A29DE57299515463A9D6134D8237B999C803E6F853513x2A2P" TargetMode="External"/><Relationship Id="rId5" Type="http://schemas.openxmlformats.org/officeDocument/2006/relationships/hyperlink" Target="consultantplus://offline/ref=94D5CE8889791A29DE57299515463A9D6135D2287D929C803E6F853513x2A2P" TargetMode="External"/><Relationship Id="rId6" Type="http://schemas.openxmlformats.org/officeDocument/2006/relationships/hyperlink" Target="consultantplus://offline/ref=79440D5123ABA6A25F43346AB59DBAAC7032C8E1556DA64FAED62E167F76889C2B7C475C32EFC59BJ8rDH"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header" Target="header3.xml"/><Relationship Id="rId11" Type="http://schemas.openxmlformats.org/officeDocument/2006/relationships/header" Target="header4.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29469-CEFB-4C63-A023-2AFB44A96B18}">
  <ds:schemaRefs>
    <ds:schemaRef ds:uri="http://schemas.microsoft.com/sharepoint/v3/contenttype/forms"/>
  </ds:schemaRefs>
</ds:datastoreItem>
</file>

<file path=customXml/itemProps2.xml><?xml version="1.0" encoding="utf-8"?>
<ds:datastoreItem xmlns:ds="http://schemas.openxmlformats.org/officeDocument/2006/customXml" ds:itemID="{95CAEEA5-E2B6-4B76-A826-4F29FF9531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6085CE-3EE5-4257-A854-521088406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04BA3F3-68BB-444D-85B0-20D2FFA39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Application>AlterOffice/3.4.0.9$Linux_X86_64 LibreOffice_project/b8daf9e823b1a5463a2f48435ddc2e8696e7d4fc</Application>
  <AppVersion>15.0000</AppVersion>
  <Pages>19</Pages>
  <Words>7099</Words>
  <Characters>50584</Characters>
  <CharactersWithSpaces>57598</CharactersWithSpaces>
  <Paragraphs>344</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2024-03-15T06:11:00Z</dcterms:created>
  <dc:creator>Быстрова Дарья Андреевна</dc:creator>
  <dc:description/>
  <dc:language>ru-RU</dc:language>
  <cp:lastModifiedBy>svetlovanu@corp.gidroogk.com</cp:lastModifiedBy>
  <dcterms:modified xsi:type="dcterms:W3CDTF">2026-05-25T11:45:13Z</dcterms:modified>
  <cp:revision>46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1</vt:bool>
  </property>
</Properties>
</file>